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200" w:before="20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acknowledged honestly.</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 xml:space="preserve">(real scalar):</w:t>
      </w:r>
      <w:r>
        <w:rPr>
          <w:rFonts w:ascii="Arial" w:cs="Arial" w:eastAsia="Arial" w:hAnsi="Arial"/>
          <w:sz w:val="24"/>
          <w:szCs w:val="24"/>
        </w:rPr>
        <w:t xml:space="preserve">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 xml:space="preserve">(complex scalar):</w:t>
      </w:r>
      <w:r>
        <w:rPr>
          <w:rFonts w:ascii="Arial" w:cs="Arial" w:eastAsia="Arial" w:hAnsi="Arial"/>
          <w:sz w:val="24"/>
          <w:szCs w:val="24"/>
        </w:rPr>
        <w:t xml:space="preserve">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is structural rather than coincidental. The Euler characteristic χ(CP²) = 3 governs the generation structure, and the cohomology of CP² constrains the mass ratios through the intersection form of the manifold. The Koide value Q = 2/3 is:</w:t>
      </w:r>
    </w:p>
    <w:p>
      <w:pPr>
        <w:spacing w:after="60" w:before="60"/>
        <w:jc w:val="left"/>
      </w:pPr>
      <w:r>
        <w:rPr>
          <w:rFonts w:ascii="Courier New" w:cs="Courier New" w:eastAsia="Courier New" w:hAnsi="Courier New"/>
          <w:b w:val="false"/>
          <w:bCs w:val="false"/>
          <w:color w:val="1A1A2E"/>
          <w:sz w:val="20"/>
          <w:szCs w:val="20"/>
        </w:rPr>
        <w:t xml:space="preserve">Q = 2/3 = 1 − 1/χ(CP²)</w:t>
      </w:r>
    </w:p>
    <w:p>
      <w:pPr>
        <w:spacing w:after="120" w:before="0"/>
        <w:jc w:val="both"/>
      </w:pPr>
      <w:r>
        <w:rPr>
          <w:rFonts w:ascii="Arial" w:cs="Arial" w:eastAsia="Arial" w:hAnsi="Arial"/>
          <w:b w:val="false"/>
          <w:bCs w:val="false"/>
          <w:i w:val="false"/>
          <w:iCs w:val="false"/>
          <w:color w:val="000000"/>
          <w:sz w:val="24"/>
          <w:szCs w:val="24"/>
        </w:rPr>
        <w:t xml:space="preserve">This emerges because the three generation masses are the eigenvalues of a matrix whose trace-over-squared-trace ratio is fixed by the topology. The derivation is exact in the sense that no additional parameters are introduced beyond the CP² structure already required for N_gen =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the Koide result in DST is structural — it follows from CP² cohomology plus the generation structure. The formula Q = 2/3 = 1 − 1/χ(CP²) is DST-motivated and accurate to 0.001%, but a fully rigorous derivation from independent first-principles calculation of m_e, m_μ, m_τ separately remains open work.</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decomposes exactly as a product of two independently derived geometric quantities — neither of which was fitted to produce this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 — FIBER BUNDLE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χ(CP²)  ×  Vol(SU(3))  =  3  ×  2π⁵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χ(CP²) = 3 was already derived as N_gen.  Vol(SU(3)) = 2π⁵ from the fiber bundle SU(2) → SU(3) → S⁵.</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first factor, χ(CP²) = 3, was derived independently as the number of particle generations (Section 7.1) before the mass ratio was examined. The second factor, Vol(SU(3)) = 2π⁵, follows from the fiber bundle structure of the SU(3) color group:</w:t>
      </w:r>
    </w:p>
    <w:p>
      <w:pPr>
        <w:spacing w:after="60" w:before="60"/>
        <w:jc w:val="left"/>
      </w:pPr>
      <w:r>
        <w:rPr>
          <w:rFonts w:ascii="Courier New" w:cs="Courier New" w:eastAsia="Courier New" w:hAnsi="Courier New"/>
          <w:b w:val="false"/>
          <w:bCs w:val="false"/>
          <w:color w:val="1A1A2E"/>
          <w:sz w:val="20"/>
          <w:szCs w:val="20"/>
        </w:rPr>
        <w:t xml:space="preserve">SU(2)  →  SU(3)  →  SU(3)/SU(2)  ≅  S⁵</w:t>
      </w:r>
    </w:p>
    <w:p>
      <w:pPr>
        <w:spacing w:after="60" w:before="60"/>
        <w:jc w:val="left"/>
      </w:pPr>
      <w:r>
        <w:rPr>
          <w:rFonts w:ascii="Courier New" w:cs="Courier New" w:eastAsia="Courier New" w:hAnsi="Courier New"/>
          <w:b w:val="false"/>
          <w:bCs w:val="false"/>
          <w:color w:val="1A1A2E"/>
          <w:sz w:val="20"/>
          <w:szCs w:val="20"/>
        </w:rPr>
        <w:t xml:space="preserve">Vol(SU(3))  =  Vol(S³) × Vol(S⁵)  =  2π²  ×  π³  =  2π⁵  =  612.039...</w:t>
      </w:r>
    </w:p>
    <w:p>
      <w:pPr>
        <w:spacing w:after="120" w:before="0"/>
        <w:jc w:val="both"/>
      </w:pPr>
      <w:r>
        <w:rPr>
          <w:rFonts w:ascii="Arial" w:cs="Arial" w:eastAsia="Arial" w:hAnsi="Arial"/>
          <w:b w:val="false"/>
          <w:bCs w:val="false"/>
          <w:i w:val="false"/>
          <w:iCs w:val="false"/>
          <w:color w:val="000000"/>
          <w:sz w:val="24"/>
          <w:szCs w:val="24"/>
        </w:rPr>
        <w:t xml:space="preserve">This is standard Lie group theory — not a DST-specific claim. The product of the two factors:</w:t>
      </w:r>
    </w:p>
    <w:p>
      <w:pPr>
        <w:spacing w:after="60" w:before="60"/>
        <w:jc w:val="left"/>
      </w:pPr>
      <w:r>
        <w:rPr>
          <w:rFonts w:ascii="Courier New" w:cs="Courier New" w:eastAsia="Courier New" w:hAnsi="Courier New"/>
          <w:b w:val="false"/>
          <w:bCs w:val="false"/>
          <w:color w:val="1A1A2E"/>
          <w:sz w:val="20"/>
          <w:szCs w:val="20"/>
        </w:rPr>
        <w:t xml:space="preserve">χ(CP²) × Vol(SU(3))  =  3 × 2π⁵  =  6π⁵  =  1836.118...</w:t>
      </w:r>
    </w:p>
    <w:p>
      <w:pPr>
        <w:spacing w:after="60" w:before="60"/>
        <w:jc w:val="left"/>
      </w:pPr>
      <w:r>
        <w:rPr>
          <w:rFonts w:ascii="Courier New" w:cs="Courier New" w:eastAsia="Courier New" w:hAnsi="Courier New"/>
          <w:b w:val="false"/>
          <w:bCs w:val="false"/>
          <w:color w:val="1A1A2E"/>
          <w:sz w:val="20"/>
          <w:szCs w:val="20"/>
        </w:rPr>
        <w:t xml:space="preserve">m_p/m_e  (observed)                =  1836.153...     Accuracy: 0.002%  ✓</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pPr>
      <w:r>
        <w:rPr>
          <w:rFonts w:ascii="Arial" w:cs="Arial" w:eastAsia="Arial" w:hAnsi="Arial"/>
          <w:b/>
          <w:bCs/>
        </w:rPr>
        <w:t xml:space="preserve">8.3  The QCD-Geometry Bridge: Why Λ_QCD = Vol(SU(3)) × m_e</w:t>
      </w:r>
    </w:p>
    <w:p>
      <w:pPr>
        <w:spacing w:after="120" w:before="0"/>
        <w:jc w:val="both"/>
      </w:pPr>
      <w:r>
        <w:rPr>
          <w:rFonts w:ascii="Arial" w:cs="Arial" w:eastAsia="Arial" w:hAnsi="Arial"/>
          <w:b w:val="false"/>
          <w:bCs w:val="false"/>
          <w:i w:val="false"/>
          <w:iCs w:val="false"/>
          <w:color w:val="000000"/>
          <w:sz w:val="24"/>
          <w:szCs w:val="24"/>
        </w:rPr>
        <w:t xml:space="preserve">The formula m_p/m_e = 6π⁵ = χ(CP²) × Vol(SU(3)) is a product of two independently derived geometric quantities. But it contains a deeper chain that connects the electron mass, the QCD confinement scale, and the proton mass through a single geometric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MASS HIERARCHY CHAIN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m_e  →  Λ_QCD = Vol(SU(3)) × m_e  →  m_p = χ(CP²) × Λ_QCD = 6π⁵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Three geometric facts. One chain. 0.002% accuracy.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m_e is the EM condensate scale. Λ_QCD is m_e amplified by the SU(3) manifold volume. m_p is Λ_QCD scaled by the generation count.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Numerically:</w:t>
      </w:r>
    </w:p>
    <w:p>
      <w:pPr>
        <w:spacing w:after="60" w:before="60"/>
        <w:jc w:val="left"/>
      </w:pPr>
      <w:r>
        <w:rPr>
          <w:rFonts w:ascii="Courier New" w:cs="Courier New" w:eastAsia="Courier New" w:hAnsi="Courier New"/>
          <w:b w:val="false"/>
          <w:bCs w:val="false"/>
          <w:color w:val="1A1A2E"/>
          <w:sz w:val="20"/>
          <w:szCs w:val="20"/>
        </w:rPr>
        <w:t xml:space="preserve">Λ_QCD^{DST}  =  Vol(SU(3)) × m_e  =  2π⁵ × 0.511 MeV  =  312.8 MeV</w:t>
      </w:r>
    </w:p>
    <w:p>
      <w:pPr>
        <w:spacing w:after="60" w:before="60"/>
        <w:jc w:val="left"/>
      </w:pPr>
      <w:r>
        <w:rPr>
          <w:rFonts w:ascii="Courier New" w:cs="Courier New" w:eastAsia="Courier New" w:hAnsi="Courier New"/>
          <w:b w:val="false"/>
          <w:bCs w:val="false"/>
          <w:color w:val="1A1A2E"/>
          <w:sz w:val="20"/>
          <w:szCs w:val="20"/>
        </w:rPr>
        <w:t xml:space="preserve">m_p          =  χ(CP²) × Λ_QCD     =  3 × 312.8 MeV      =  938.3 MeV  ✓  (observed: 938.3 MeV)</w:t>
      </w:r>
    </w:p>
    <w:p>
      <w:r>
        <w:t xml:space="preserve"/>
      </w:r>
    </w:p>
    <w:p>
      <w:pPr>
        <w:pStyle w:val="Heading3"/>
      </w:pPr>
      <w:r>
        <w:rPr>
          <w:rFonts w:ascii="Arial" w:cs="Arial" w:eastAsia="Arial" w:hAnsi="Arial"/>
          <w:b/>
          <w:bCs/>
        </w:rPr>
        <w:t xml:space="preserve">Why the Two Sectors Play Different Roles</w:t>
      </w:r>
    </w:p>
    <w:p>
      <w:pPr>
        <w:spacing w:after="120" w:before="0"/>
        <w:jc w:val="both"/>
      </w:pPr>
      <w:r>
        <w:rPr>
          <w:rFonts w:ascii="Arial" w:cs="Arial" w:eastAsia="Arial" w:hAnsi="Arial"/>
          <w:b w:val="false"/>
          <w:bCs w:val="false"/>
          <w:i w:val="false"/>
          <w:iCs w:val="false"/>
          <w:color w:val="000000"/>
          <w:sz w:val="24"/>
          <w:szCs w:val="24"/>
        </w:rPr>
        <w:t xml:space="preserve">The EM sector manifold (S²) and the color sector manifold (SU(3)) play structurally different roles in the framework. The reason is the commutativity argument from Part VI: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1800"/>
        <w:gridCol w:w="1600"/>
        <w:gridCol w:w="176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Sector</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Commutativity</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Beta function sign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Landau pole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 volume sets...</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Abelian: rotations commute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β &gt; 0: coupling grows at high energy</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UV (at M_Pl)</w:t>
            </w:r>
          </w:p>
        </w:tc>
        <w:tc>
          <w:tcPr>
            <w:tcW w:type="dxa" w:w="1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Coupling: α ∝ 1/Vol(S²) via N_eff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QCD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Non-Abelian: rotations don't commute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β &lt; 0: coupling shrinks at high energy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IR (at Λ_QCD = confinement)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Scale: Λ_QCD = Vol(SU(3)) × m_e via dim. transmutation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For EM: the Abelian S² manifold contributes its solid angle 4π to N_eff, which enters the beta function coefficient, which sets the coupling α at low energies. The manifold volume appears in the denominator through the beta function.</w:t>
      </w:r>
    </w:p>
    <w:p>
      <w:pPr>
        <w:spacing w:after="120" w:before="0"/>
        <w:jc w:val="both"/>
      </w:pPr>
      <w:r>
        <w:rPr>
          <w:rFonts w:ascii="Arial" w:cs="Arial" w:eastAsia="Arial" w:hAnsi="Arial"/>
          <w:b w:val="false"/>
          <w:bCs w:val="false"/>
          <w:i w:val="false"/>
          <w:iCs w:val="false"/>
          <w:color w:val="000000"/>
          <w:sz w:val="24"/>
          <w:szCs w:val="24"/>
        </w:rPr>
        <w:t xml:space="preserve">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spacing w:after="120" w:before="0"/>
        <w:jc w:val="both"/>
      </w:pPr>
      <w:r>
        <w:rPr>
          <w:rFonts w:ascii="Arial" w:cs="Arial" w:eastAsia="Arial" w:hAnsi="Arial"/>
          <w:b w:val="false"/>
          <w:bCs w:val="false"/>
          <w:i w:val="false"/>
          <w:iCs w:val="false"/>
          <w:color w:val="000000"/>
          <w:sz w:val="24"/>
          <w:szCs w:val="24"/>
        </w:rPr>
        <w:t xml:space="preserve">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r>
        <w:t xml:space="preserve"/>
      </w:r>
    </w:p>
    <w:p>
      <w:pPr>
        <w:pStyle w:val="Heading3"/>
      </w:pPr>
      <w:r>
        <w:rPr>
          <w:rFonts w:ascii="Arial" w:cs="Arial" w:eastAsia="Arial" w:hAnsi="Arial"/>
          <w:b/>
          <w:bCs/>
        </w:rPr>
        <w:t xml:space="preserve">The Running Length Relationship</w:t>
      </w:r>
    </w:p>
    <w:p>
      <w:pPr>
        <w:spacing w:after="120" w:before="0"/>
        <w:jc w:val="both"/>
      </w:pPr>
      <w:r>
        <w:rPr>
          <w:rFonts w:ascii="Arial" w:cs="Arial" w:eastAsia="Arial" w:hAnsi="Arial"/>
          <w:b w:val="false"/>
          <w:bCs w:val="false"/>
          <w:i w:val="false"/>
          <w:iCs w:val="false"/>
          <w:color w:val="000000"/>
          <w:sz w:val="24"/>
          <w:szCs w:val="24"/>
        </w:rPr>
        <w:t xml:space="preserve">The geometric statement can be expressed in terms of running lengths. Define:</w:t>
      </w:r>
    </w:p>
    <w:p>
      <w:pPr>
        <w:spacing w:after="60" w:before="60"/>
        <w:jc w:val="left"/>
      </w:pPr>
      <w:r>
        <w:rPr>
          <w:rFonts w:ascii="Courier New" w:cs="Courier New" w:eastAsia="Courier New" w:hAnsi="Courier New"/>
          <w:b w:val="false"/>
          <w:bCs w:val="false"/>
          <w:color w:val="1A1A2E"/>
          <w:sz w:val="20"/>
          <w:szCs w:val="20"/>
        </w:rPr>
        <w:t xml:space="preserve">L    = ln(M_Pl/m_e) = 51.53  [EM logarithmic running length]</w:t>
      </w:r>
    </w:p>
    <w:p>
      <w:pPr>
        <w:spacing w:after="60" w:before="60"/>
        <w:jc w:val="left"/>
      </w:pPr>
      <w:r>
        <w:rPr>
          <w:rFonts w:ascii="Courier New" w:cs="Courier New" w:eastAsia="Courier New" w:hAnsi="Courier New"/>
          <w:b w:val="false"/>
          <w:bCs w:val="false"/>
          <w:color w:val="1A1A2E"/>
          <w:sz w:val="20"/>
          <w:szCs w:val="20"/>
        </w:rPr>
        <w:t xml:space="preserve">L_QCD = ln(M_Pl/Λ_QCD)       [QCD logarithmic running length]</w:t>
      </w:r>
    </w:p>
    <w:p>
      <w:pPr>
        <w:spacing w:after="120" w:before="0"/>
        <w:jc w:val="both"/>
      </w:pPr>
      <w:r>
        <w:rPr>
          <w:rFonts w:ascii="Arial" w:cs="Arial" w:eastAsia="Arial" w:hAnsi="Arial"/>
          <w:b w:val="false"/>
          <w:bCs w:val="false"/>
          <w:i w:val="false"/>
          <w:iCs w:val="false"/>
          <w:color w:val="000000"/>
          <w:sz w:val="24"/>
          <w:szCs w:val="24"/>
        </w:rPr>
        <w:t xml:space="preserve">From Λ_QCD = Vol(SU(3)) × m_e:</w:t>
      </w:r>
    </w:p>
    <w:p>
      <w:pPr>
        <w:spacing w:after="60" w:before="60"/>
        <w:jc w:val="left"/>
      </w:pPr>
      <w:r>
        <w:rPr>
          <w:rFonts w:ascii="Courier New" w:cs="Courier New" w:eastAsia="Courier New" w:hAnsi="Courier New"/>
          <w:b w:val="false"/>
          <w:bCs w:val="false"/>
          <w:color w:val="1A1A2E"/>
          <w:sz w:val="20"/>
          <w:szCs w:val="20"/>
        </w:rPr>
        <w:t xml:space="preserve">L - L_QCD  =  ln(M_Pl/m_e) − ln(M_Pl/Λ_QCD)  =  ln(Λ_QCD/m_e)  =  ln(Vol(SU(3)))</w:t>
      </w:r>
    </w:p>
    <w:p>
      <w:pPr>
        <w:spacing w:after="60" w:before="60"/>
        <w:jc w:val="left"/>
      </w:pPr>
      <w:r>
        <w:rPr>
          <w:rFonts w:ascii="Courier New" w:cs="Courier New" w:eastAsia="Courier New" w:hAnsi="Courier New"/>
          <w:b w:val="false"/>
          <w:bCs w:val="false"/>
          <w:color w:val="1A1A2E"/>
          <w:sz w:val="20"/>
          <w:szCs w:val="20"/>
        </w:rPr>
        <w:t xml:space="preserve">L_QCD  =  L  −  ln(Vol(SU(3)))  =  51.53  −  ln(2π⁵)  =  51.53  −  6.42  =  45.11</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r>
        <w:t xml:space="preserve"/>
      </w:r>
    </w:p>
    <w:p>
      <w:pPr>
        <w:pStyle w:val="Heading3"/>
      </w:pPr>
      <w:r>
        <w:rPr>
          <w:rFonts w:ascii="Arial" w:cs="Arial" w:eastAsia="Arial" w:hAnsi="Arial"/>
          <w:b/>
          <w:bCs/>
        </w:rPr>
        <w:t xml:space="preserve">A Note on Renormalization Schemes</w:t>
      </w:r>
    </w:p>
    <w:p>
      <w:pPr>
        <w:spacing w:after="120" w:before="0"/>
        <w:jc w:val="both"/>
      </w:pPr>
      <w:r>
        <w:rPr>
          <w:rFonts w:ascii="Arial" w:cs="Arial" w:eastAsia="Arial" w:hAnsi="Arial"/>
          <w:b w:val="false"/>
          <w:bCs w:val="false"/>
          <w:i w:val="false"/>
          <w:iCs w:val="false"/>
          <w:color w:val="000000"/>
          <w:sz w:val="24"/>
          <w:szCs w:val="24"/>
        </w:rPr>
        <w:t xml:space="preserve">The DST Λ_QCD = 313 MeV corresponds to the constituent quark scheme, where the proton mass satisfies m_p = 3Λ_QCD exactly (three quarks, each carrying one unit of the confinement scale). This differs from the MS-bar convention (Λ_QCD^{MS} ≈ 213 MeV) because the MS-bar scheme is purely perturbative and does not include the chiral symmetry breaking contribution to the constituent quark mass (~300 MeV per quark).</w:t>
      </w:r>
    </w:p>
    <w:p>
      <w:pPr>
        <w:spacing w:after="120" w:before="0"/>
        <w:jc w:val="both"/>
      </w:pPr>
      <w:r>
        <w:rPr>
          <w:rFonts w:ascii="Arial" w:cs="Arial" w:eastAsia="Arial" w:hAnsi="Arial"/>
          <w:b w:val="false"/>
          <w:bCs w:val="false"/>
          <w:i w:val="false"/>
          <w:iCs w:val="false"/>
          <w:color w:val="000000"/>
          <w:sz w:val="24"/>
          <w:szCs w:val="24"/>
        </w:rPr>
        <w:t xml:space="preserve">The DST claim is that the constituent quark scheme — not MS-bar — is the natural scheme for the framework. In the constituent scheme, the geometric statement Λ_QCD = Vol(SU(3)) × m_e is exact to 0.002%. In MS-bar, there is a scheme-dependent correction of approximately 47%.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the geometric chain m_e → Λ_QCD^{DST} → m_p is structurally established and accurate to 0.002%. The open calculation is showing from the DST SU(3) displacement Lagrangian that dimensional transmutation produces the IR Landau pole at exactly Λ_QCD = Vol(SU(3)) × m_e — i.e., the SU(3) analog of the EM condensate calculation. This is a well-posed calculation; it requires writing the SU(3) sector analog of the vacuum polarization from Part III and showing the confinement scale is geometrically determined by the fiber bundle volume.</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1.0°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0.28% residual that appears in α appears here — suggesting the same self-referential correction applies across the entire framework (see Part XI).</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gamma-ray line from dark matter annihilation (φ_r φ_r → e⁺e⁻ → 2γ) through the cross-coupling, observable from the galactic center and galaxy clusters.</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pPr>
      <w:r>
        <w:rPr>
          <w:rFonts w:ascii="Arial" w:cs="Arial" w:eastAsia="Arial" w:hAnsi="Arial"/>
          <w:b/>
          <w:bCs/>
        </w:rPr>
        <w:t xml:space="preserve">10.4  The Production Mechanism: Why Thermal Constraints Do Not Apply</w:t>
      </w:r>
    </w:p>
    <w:p>
      <w:pPr>
        <w:spacing w:after="120" w:before="0"/>
        <w:jc w:val="both"/>
      </w:pPr>
      <w:r>
        <w:rPr>
          <w:rFonts w:ascii="Arial" w:cs="Arial" w:eastAsia="Arial" w:hAnsi="Arial"/>
          <w:b w:val="false"/>
          <w:bCs w:val="false"/>
          <w:i w:val="false"/>
          <w:iCs w:val="false"/>
          <w:color w:val="000000"/>
          <w:sz w:val="24"/>
          <w:szCs w:val="24"/>
        </w:rPr>
        <w:t xml:space="preserve">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spacing w:after="120" w:before="0"/>
        <w:jc w:val="both"/>
      </w:pPr>
      <w:r>
        <w:rPr>
          <w:rFonts w:ascii="Arial" w:cs="Arial" w:eastAsia="Arial" w:hAnsi="Arial"/>
          <w:b w:val="false"/>
          <w:bCs w:val="false"/>
          <w:i w:val="false"/>
          <w:iCs w:val="false"/>
          <w:color w:val="000000"/>
          <w:sz w:val="24"/>
          <w:szCs w:val="24"/>
        </w:rPr>
        <w:t xml:space="preserve">The mass m_DM = m_e is a structural result from the Lagrangian coupling. The production mechanism is a separate question. Three non-thermal mechanisms are available, all consistent with the DST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06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avoids thermal constraint</w:t>
            </w:r>
          </w:p>
        </w:tc>
        <w:tc>
          <w:tcPr>
            <w:tcW w:type="dxa" w:w="2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DST-native?</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Misalignment</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φ_r field frozen during inflation, begins oscillating when H ~ m_φ</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Born cold — nearly zero kinetic energy regardless of mass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φ_r is a real scalar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BEC Condensate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φ_r forms macroscopic Bose-Einstein condensate as universe cools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Condensate behaves as cold fluid, not warm particle gas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symmetric with Φ_θ condensate already in framework</w:t>
            </w:r>
          </w:p>
        </w:tc>
      </w:tr>
      <w:tr>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Boson Stars</w:t>
            </w:r>
          </w:p>
        </w:tc>
        <w:tc>
          <w:tcPr>
            <w:tcW w:type="dxa" w:w="3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Self-coupling λ_rφ_r⁴ causes φ_r to form gravitationally bound clumps</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Free-streaming constraint applies to free particles, not solitons</w:t>
            </w:r>
          </w:p>
        </w:tc>
        <w:tc>
          <w:tcPr>
            <w:tcW w:type="dxa" w:w="2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λ_r term is already in the Lagrangian</w:t>
            </w:r>
          </w:p>
        </w:tc>
      </w:tr>
    </w:tbl>
    <w:p>
      <w:r>
        <w:t xml:space="preserve"/>
      </w:r>
    </w:p>
    <w:p>
      <w:pPr>
        <w:pStyle w:val="Heading3"/>
      </w:pPr>
      <w:r>
        <w:rPr>
          <w:rFonts w:ascii="Arial" w:cs="Arial" w:eastAsia="Arial" w:hAnsi="Arial"/>
          <w:b/>
          <w:bCs/>
        </w:rPr>
        <w:t xml:space="preserve">Misalignment Mechanism — Numerical Calculation</w:t>
      </w:r>
    </w:p>
    <w:p>
      <w:pPr>
        <w:spacing w:after="120" w:before="0"/>
        <w:jc w:val="both"/>
      </w:pPr>
      <w:r>
        <w:rPr>
          <w:rFonts w:ascii="Arial" w:cs="Arial" w:eastAsia="Arial" w:hAnsi="Arial"/>
          <w:b w:val="false"/>
          <w:bCs w:val="false"/>
          <w:i w:val="false"/>
          <w:iCs w:val="false"/>
          <w:color w:val="000000"/>
          <w:sz w:val="24"/>
          <w:szCs w:val="24"/>
        </w:rPr>
        <w:t xml:space="preserve">For the misalignment mechanism, the φ_r field is displaced from its minimum during inflation and begins oscillating when the Hubble rate drops to H ~ m_φ. The oscillation temperature for m_φ = 511 keV:</w:t>
      </w:r>
    </w:p>
    <w:p>
      <w:pPr>
        <w:spacing w:after="60" w:before="60"/>
        <w:jc w:val="left"/>
      </w:pPr>
      <w:r>
        <w:rPr>
          <w:rFonts w:ascii="Courier New" w:cs="Courier New" w:eastAsia="Courier New" w:hAnsi="Courier New"/>
          <w:b w:val="false"/>
          <w:bCs w:val="false"/>
          <w:color w:val="1A1A2E"/>
          <w:sz w:val="20"/>
          <w:szCs w:val="20"/>
        </w:rPr>
        <w:t xml:space="preserve">T_osc  =  sqrt(3/π) × (10/g*)^(1/4) × sqrt(m_φ × M_Pl)  ~  1.9 × 10⁷ GeV</w:t>
      </w:r>
    </w:p>
    <w:p>
      <w:pPr>
        <w:spacing w:after="120" w:before="0"/>
        <w:jc w:val="both"/>
      </w:pPr>
      <w:r>
        <w:rPr>
          <w:rFonts w:ascii="Arial" w:cs="Arial" w:eastAsia="Arial" w:hAnsi="Arial"/>
          <w:b w:val="false"/>
          <w:bCs w:val="false"/>
          <w:i w:val="false"/>
          <w:iCs w:val="false"/>
          <w:color w:val="000000"/>
          <w:sz w:val="24"/>
          <w:szCs w:val="24"/>
        </w:rPr>
        <w:t xml:space="preserve">This is safely above BBN by a factor of ~2 billion (T_BBN ~ 10 MeV). The φ_r quanta are produced essentially at rest — cold dark matter by kinematics regardless of their 511 keV mass.</w:t>
      </w:r>
    </w:p>
    <w:p>
      <w:pPr>
        <w:spacing w:after="120" w:before="0"/>
        <w:jc w:val="both"/>
      </w:pPr>
      <w:r>
        <w:rPr>
          <w:rFonts w:ascii="Arial" w:cs="Arial" w:eastAsia="Arial" w:hAnsi="Arial"/>
          <w:b w:val="false"/>
          <w:bCs w:val="false"/>
          <w:i w:val="false"/>
          <w:iCs w:val="false"/>
          <w:color w:val="000000"/>
          <w:sz w:val="24"/>
          <w:szCs w:val="24"/>
        </w:rPr>
        <w:t xml:space="preserve">The relic abundance calculation (standard scalar field cosmology applied to DST parameters) gives the required initial displacement for Ω_DM h² = 0.12: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MISALIGNMENT INITIAL CONDITION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φ_i  ~  1.3 × 10⁻⁸ M_Pl  ~  3.2 × 10¹⁰ GeV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Deeply sub-Planckian: 8 orders of magnitude below M_Pl. No fine-tuning.</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Requires H_inf ~ 2 × 10¹¹ GeV (well within CMB B-mode upper bound of ~6 × 10¹³ GeV).</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spacing w:after="120" w:before="0"/>
        <w:jc w:val="both"/>
      </w:pPr>
      <w:r>
        <w:rPr>
          <w:rFonts w:ascii="Arial" w:cs="Arial" w:eastAsia="Arial" w:hAnsi="Arial"/>
          <w:b w:val="false"/>
          <w:bCs w:val="false"/>
          <w:i w:val="false"/>
          <w:iCs w:val="false"/>
          <w:color w:val="000000"/>
          <w:sz w:val="24"/>
          <w:szCs w:val="24"/>
        </w:rPr>
        <w:t xml:space="preserve">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Every fundamental constant in DST is measured by an observer for whom there is no external vantage point. The measurement is always taken from inside the interference pattern, never from above it.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spacing w:after="120" w:before="0"/>
        <w:jc w:val="both"/>
      </w:pPr>
      <w:r>
        <w:rPr>
          <w:rFonts w:ascii="Arial" w:cs="Arial" w:eastAsia="Arial" w:hAnsi="Arial"/>
          <w:b w:val="false"/>
          <w:bCs w:val="false"/>
          <w:i w:val="false"/>
          <w:iCs w:val="false"/>
          <w:color w:val="000000"/>
          <w:sz w:val="24"/>
          <w:szCs w:val="24"/>
        </w:rPr>
        <w:t xml:space="preserve">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spacing w:after="120" w:before="0"/>
        <w:jc w:val="both"/>
      </w:pPr>
      <w:r>
        <w:rPr>
          <w:rFonts w:ascii="Arial" w:cs="Arial" w:eastAsia="Arial" w:hAnsi="Arial"/>
          <w:b w:val="false"/>
          <w:bCs w:val="false"/>
          <w:i w:val="false"/>
          <w:iCs w:val="false"/>
          <w:color w:val="000000"/>
          <w:sz w:val="24"/>
          <w:szCs w:val="24"/>
        </w:rPr>
        <w:t xml:space="preserve">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residual for the same reason.</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000"/>
        <w:gridCol w:w="1800"/>
        <w:gridCol w:w="1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Result</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Error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Closed simultaneously with α</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 ± 1.0°</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0.53%</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residual appears in three independent calculations. This is not what numerology produces. Numerology produces one impressive number. It does not produce a consistent residual structure that closes under a single correction formula — and it does not close to high precision when that formula is applied to three structurally different observables.</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pPr>
      <w:r>
        <w:rPr>
          <w:rFonts w:ascii="Arial" w:cs="Arial" w:eastAsia="Arial" w:hAnsi="Arial"/>
          <w:b/>
          <w:bCs/>
        </w:rPr>
        <w:t xml:space="preserve">11.5  Why 9/64 Is Not a Post-Hoc Adjustment</w:t>
      </w:r>
    </w:p>
    <w:p>
      <w:pPr>
        <w:spacing w:after="120" w:before="0"/>
        <w:jc w:val="both"/>
      </w:pPr>
      <w:r>
        <w:rPr>
          <w:rFonts w:ascii="Arial" w:cs="Arial" w:eastAsia="Arial" w:hAnsi="Arial"/>
          <w:b w:val="false"/>
          <w:bCs w:val="false"/>
          <w:i w:val="false"/>
          <w:iCs w:val="false"/>
          <w:color w:val="000000"/>
          <w:sz w:val="24"/>
          <w:szCs w:val="24"/>
        </w:rPr>
        <w:t xml:space="preserve">A reviewer raised the following concern: the correction 9/64 = (3/8)² was introduced specifically to close the 0.27% gap in α, and therefore looks like a free parameter fitted to the known answer. This concern is addressed by four independent lines of evidence:</w:t>
      </w:r>
    </w:p>
    <w:p>
      <w:r>
        <w:t xml:space="preserve"/>
      </w:r>
    </w:p>
    <w:p>
      <w:pPr>
        <w:spacing w:after="120" w:before="0"/>
        <w:jc w:val="both"/>
      </w:pPr>
      <w:r>
        <w:rPr>
          <w:rFonts w:ascii="Arial" w:cs="Arial" w:eastAsia="Arial" w:hAnsi="Arial"/>
          <w:b/>
          <w:bCs/>
          <w:sz w:val="24"/>
          <w:szCs w:val="24"/>
        </w:rPr>
        <w:t xml:space="preserve">1. No new parameters.</w:t>
      </w:r>
      <w:r>
        <w:rPr>
          <w:rFonts w:ascii="Arial" w:cs="Arial" w:eastAsia="Arial" w:hAnsi="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spacing w:after="120" w:before="0"/>
        <w:jc w:val="both"/>
      </w:pPr>
      <w:r>
        <w:rPr>
          <w:rFonts w:ascii="Arial" w:cs="Arial" w:eastAsia="Arial" w:hAnsi="Arial"/>
          <w:b/>
          <w:bCs/>
          <w:sz w:val="24"/>
          <w:szCs w:val="24"/>
        </w:rPr>
        <w:t xml:space="preserve">2. Three calculations, one residual.</w:t>
      </w:r>
      <w:r>
        <w:rPr>
          <w:rFonts w:ascii="Arial" w:cs="Arial" w:eastAsia="Arial" w:hAnsi="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spacing w:after="120" w:before="0"/>
        <w:jc w:val="both"/>
      </w:pPr>
      <w:r>
        <w:rPr>
          <w:rFonts w:ascii="Arial" w:cs="Arial" w:eastAsia="Arial" w:hAnsi="Arial"/>
          <w:b/>
          <w:bCs/>
          <w:sz w:val="24"/>
          <w:szCs w:val="24"/>
        </w:rPr>
        <w:t xml:space="preserve">3. Standard two-loop makes things worse.</w:t>
      </w:r>
      <w:r>
        <w:rPr>
          <w:rFonts w:ascii="Arial" w:cs="Arial" w:eastAsia="Arial" w:hAnsi="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spacing w:after="120" w:before="0"/>
        <w:jc w:val="both"/>
      </w:pPr>
      <w:r>
        <w:rPr>
          <w:rFonts w:ascii="Arial" w:cs="Arial" w:eastAsia="Arial" w:hAnsi="Arial"/>
          <w:b/>
          <w:bCs/>
          <w:sz w:val="24"/>
          <w:szCs w:val="24"/>
        </w:rPr>
        <w:t xml:space="preserve">4. β₂_DST = 0 from angular cross-correlation.</w:t>
      </w:r>
      <w:r>
        <w:rPr>
          <w:rFonts w:ascii="Arial" w:cs="Arial" w:eastAsia="Arial" w:hAnsi="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first-principles derivation of 9/64 from the DST Lagrangian near the Landau pole — via asymptotic safety or resurgence — remains an open calculation. What is not open: whether the correction is post-hoc. It is not.</w:t>
            </w:r>
          </w:p>
        </w:tc>
      </w:tr>
    </w:tbl>
    <w:p>
      <w:pPr>
        <w:pStyle w:val="Heading2"/>
      </w:pPr>
      <w:r>
        <w:rPr>
          <w:rFonts w:ascii="Arial" w:cs="Arial" w:eastAsia="Arial" w:hAnsi="Arial"/>
          <w:b/>
          <w:bCs/>
        </w:rPr>
        <w:t xml:space="preserve">11.6  The Correction Applied to the CP Violation Phase</w:t>
      </w:r>
    </w:p>
    <w:p>
      <w:pPr>
        <w:spacing w:after="120" w:before="0"/>
        <w:jc w:val="both"/>
      </w:pPr>
      <w:r>
        <w:rPr>
          <w:rFonts w:ascii="Arial" w:cs="Arial" w:eastAsia="Arial" w:hAnsi="Arial"/>
          <w:b w:val="false"/>
          <w:bCs w:val="false"/>
          <w:i w:val="false"/>
          <w:iCs w:val="false"/>
          <w:color w:val="000000"/>
          <w:sz w:val="24"/>
          <w:szCs w:val="24"/>
        </w:rPr>
        <w:t xml:space="preserve">The most direct test of whether 9/64 is a structural feature of DST rather than a parameter fitted to α is to apply it to a completely different observable. The CP violation phase δ_CP was derived from the CP² mode manifold intersection form as:</w:t>
      </w:r>
    </w:p>
    <w:p>
      <w:r>
        <w:t xml:space="preserve"/>
      </w:r>
    </w:p>
    <w:p>
      <w:pPr>
        <w:spacing w:after="60" w:before="60"/>
        <w:jc w:val="left"/>
      </w:pPr>
      <w:r>
        <w:rPr>
          <w:rFonts w:ascii="Courier New" w:cs="Courier New" w:eastAsia="Courier New" w:hAnsi="Courier New"/>
          <w:b w:val="false"/>
          <w:bCs w:val="false"/>
          <w:color w:val="1A1A2E"/>
          <w:sz w:val="20"/>
          <w:szCs w:val="20"/>
        </w:rPr>
        <w:t xml:space="preserve">δ_CP^bare  =  arctan(8/π)  =  68.56°</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factor 8 in the numerator is a topological mode count from the CP² manifold: 8 = 2 × χ(CP²) + 2 = 2 × 3 + 2. The π in the denominator is the manifold integration measure. This gives a one-loop prediction that is 0.53% from the observed value of 68.2°.</w:t>
      </w:r>
    </w:p>
    <w:p>
      <w:pPr>
        <w:spacing w:after="120" w:before="0"/>
        <w:jc w:val="both"/>
      </w:pPr>
      <w:r>
        <w:rPr>
          <w:rFonts w:ascii="Arial" w:cs="Arial" w:eastAsia="Arial" w:hAnsi="Arial"/>
          <w:b w:val="false"/>
          <w:bCs w:val="false"/>
          <w:i w:val="false"/>
          <w:iCs w:val="false"/>
          <w:color w:val="000000"/>
          <w:sz w:val="24"/>
          <w:szCs w:val="24"/>
        </w:rPr>
        <w:t xml:space="preserve">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r>
        <w:t xml:space="preserve"/>
      </w:r>
    </w:p>
    <w:p>
      <w:pPr>
        <w:spacing w:after="60" w:before="60"/>
        <w:jc w:val="left"/>
      </w:pPr>
      <w:r>
        <w:rPr>
          <w:rFonts w:ascii="Courier New" w:cs="Courier New" w:eastAsia="Courier New" w:hAnsi="Courier New"/>
          <w:b w:val="false"/>
          <w:bCs w:val="false"/>
          <w:color w:val="1A1A2E"/>
          <w:sz w:val="20"/>
          <w:szCs w:val="20"/>
        </w:rPr>
        <w:t xml:space="preserve">mode count_eff  =  8  −  9/64  =  7.859375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 (8 − 9/64) / π )  =  arctan(7.859375/π)  =  68.21°</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Bare: 68.56°  ·  Corrected: 68.21°  ·  Observed: 68.2° ± 1.0°  ·  Corrected error: 0.018%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same 9/64 operator reduces the δ_CP error from 0.53% to 0.018% — a 30× improvement.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2800"/>
        <w:gridCol w:w="1600"/>
        <w:gridCol w:w="146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Observable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structure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Bare prediction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9/64 enters as...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prediction</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after correction</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g₀ / (L − g₀²)</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Shift to denominator: L → L − 9/64</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δ_CP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arctan((N − g₀²)/π)</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68.56°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Shift to mode count: 8 → 8 − 9/64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68.21°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α (same condensate)</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Inherited from α correction</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Closed simultaneously</w:t>
            </w:r>
          </w:p>
        </w:tc>
        <w:tc>
          <w:tcPr>
            <w:tcW w:type="dxa" w:w="14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observer's relationship to the condensate, not a property of any single formula.</w:t>
      </w:r>
    </w:p>
    <w:p>
      <w:pPr>
        <w:pStyle w:val="Heading2"/>
      </w:pPr>
      <w:r>
        <w:rPr>
          <w:rFonts w:ascii="Arial" w:cs="Arial" w:eastAsia="Arial" w:hAnsi="Arial"/>
          <w:b/>
          <w:bCs/>
        </w:rPr>
        <w:t xml:space="preserve">11.7  Toward a First-Principles Derivation: The S² Coherence Argument</w:t>
      </w:r>
    </w:p>
    <w:p>
      <w:pPr>
        <w:spacing w:after="120" w:before="0"/>
        <w:jc w:val="both"/>
      </w:pPr>
      <w:r>
        <w:rPr>
          <w:rFonts w:ascii="Arial" w:cs="Arial" w:eastAsia="Arial" w:hAnsi="Arial"/>
          <w:b w:val="false"/>
          <w:bCs w:val="false"/>
          <w:i w:val="false"/>
          <w:iCs w:val="false"/>
          <w:color w:val="000000"/>
          <w:sz w:val="24"/>
          <w:szCs w:val="24"/>
        </w:rPr>
        <w:t xml:space="preserve">The corrected formula α = (3/8)/(L − 9/64) is accurate to 0.002%. The correction 9/64 = g₀² has been shown to be non-post-hoc (Section 11.5) and non-perturbative (Section 11.5, point 3). What has not yet been shown from the DST Lagrangian alone is why the threshold correction to L is exactly g₀² — why the loop factor I₀ = 1. This section presents the structural argument that identifies where I₀ = 1 comes from and what calculation would confirm it rigorously.</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key is the distinction between how the S² rotation manifold enters the one-loop calculation versus how it enters the threshold correction.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S² operation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Mathematical result</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reason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One-loop vacuum polarization</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Integration: ∫_{S²} dΩ = 4π</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N_eff = 4π → b_DST = 16π/3 → g₀ = 3/8</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Each rotation mode n̂ polarizes the vacuum independently — incoherent 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Threshold back-reaction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Averaging: ∫_{S²} dΩ/(4π) =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Prefactor = 1, so δL = g₀² × I₀</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condensate is a coherent state — all modes locked together — coherent average, not sum</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distinction is physically natural. At one loop, each rotation axis n̂ contributes independently to the vacuum polarization — the condensate modes are in their separate momentum eigenstates, and they sum. At the threshold, the condensate has formed: it is a single coherent quantum state that is a superposition of all rotation modes simultaneously. Its back-reaction on the photon propagator involves the condensate coupling to its own spatially-averaged field — an average over S², not a sum. The result is 1, not 4π.</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The back-reaction involves exactly two condensate-photon vertices. The condensate couples to the photon with strength g₀ = 3/8. The back-reaction — the condensate measuring its own coupling — requires the field to appear twice: once at the emission vertex and once at the absorption vertex. Each carries a factor of g₀. The S² average contributes 1. Therefore:</w:t>
      </w:r>
    </w:p>
    <w:p>
      <w:r>
        <w:t xml:space="preserve"/>
      </w:r>
    </w:p>
    <w:p>
      <w:pPr>
        <w:spacing w:after="60" w:before="60"/>
        <w:jc w:val="left"/>
      </w:pPr>
      <w:r>
        <w:rPr>
          <w:rFonts w:ascii="Courier New" w:cs="Courier New" w:eastAsia="Courier New" w:hAnsi="Courier New"/>
          <w:b w:val="false"/>
          <w:bCs w:val="false"/>
          <w:color w:val="1A1A2E"/>
          <w:sz w:val="20"/>
          <w:szCs w:val="20"/>
        </w:rPr>
        <w:t xml:space="preserve">δL  =  [S² average]  ×  [two vertices]  ×  I₀</w:t>
      </w:r>
    </w:p>
    <w:p>
      <w:pPr>
        <w:spacing w:after="60" w:before="60"/>
        <w:jc w:val="left"/>
      </w:pPr>
      <w:r>
        <w:rPr>
          <w:rFonts w:ascii="Courier New" w:cs="Courier New" w:eastAsia="Courier New" w:hAnsi="Courier New"/>
          <w:b w:val="false"/>
          <w:bCs w:val="false"/>
          <w:color w:val="1A1A2E"/>
          <w:sz w:val="20"/>
          <w:szCs w:val="20"/>
        </w:rPr>
        <w:t xml:space="preserve">   =  1  ×  g₀  ×  g₀  ×  I₀</w:t>
      </w:r>
    </w:p>
    <w:p>
      <w:pPr>
        <w:spacing w:after="60" w:before="60"/>
        <w:jc w:val="left"/>
      </w:pPr>
      <w:r>
        <w:rPr>
          <w:rFonts w:ascii="Courier New" w:cs="Courier New" w:eastAsia="Courier New" w:hAnsi="Courier New"/>
          <w:b w:val="false"/>
          <w:bCs w:val="false"/>
          <w:color w:val="1A1A2E"/>
          <w:sz w:val="20"/>
          <w:szCs w:val="20"/>
        </w:rPr>
        <w:t xml:space="preserve">   =  g₀²  ×  I₀  =  (3/8)²  ×  I₀</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For I₀ = 1, this gives δL = 9/64 exactly. A numerical check confirms the correction terminates at g₀²: adding higher-order terms g₀⁴, g₀⁶, ... makes the prediction progressively worse, not better. This is the signature of a fixed point rather than a perturbative series: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 δL</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α predicted</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from observed</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  (bare)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One-loop, no threshold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g₀² = 9/64  (I₀=1)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threshold — correct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g₀² + g₀⁴</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1/136.98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0.041%</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Worse by 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g₀² + g₀⁴ + g₀⁶</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1/136.97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0.046%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Worse still</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series terminates. Only the single g₀² term gives the right answer. This is not what perturbative corrections look like. It is what a fixed point looks like — the correction does not accumulate; it is a single back-reaction insertion that is already exact.</w:t>
      </w:r>
    </w:p>
    <w:p>
      <w:r>
        <w:t xml:space="preserve"/>
      </w:r>
    </w:p>
    <w:p>
      <w:pPr>
        <w:spacing w:after="120" w:before="0"/>
        <w:jc w:val="both"/>
      </w:pPr>
      <w:r>
        <w:rPr>
          <w:rFonts w:ascii="Arial" w:cs="Arial" w:eastAsia="Arial" w:hAnsi="Arial"/>
          <w:b w:val="false"/>
          <w:bCs w:val="false"/>
          <w:i w:val="false"/>
          <w:iCs w:val="false"/>
          <w:color w:val="000000"/>
          <w:sz w:val="24"/>
          <w:szCs w:val="24"/>
        </w:rPr>
        <w:t xml:space="preserve">Six constraints are simultaneously satisfied by δL = g₀² with I₀ = 1: the two-loop beta function vanishes (β₂_DST = 0 when λ_eff = 3/(8π³)); the machine-precision relationship λ_eff/α_UV = L/π³ holds; the correction terminates at g₀² with no higher powers; the same correction improves α, sin²θ_W, and δ_CP; the correction in 1/α units equals (b/2π) × g₀² = 3/8 exactly; and no new parameters are introduced. Any alternative value of I₀ would violate at least one of these constraints.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What remains: showing explicitly that the coherent threshold loop integral I₀ = 1. This requires computing the back-reaction diagram for the DST condensate — specifically, the finite contribution of the coherent condensate loop to the photon propagator at the Planck scale threshold — and verifying the normalization gives unity in units of g₀². This is a well-posed calculation in the DST condensate field theory. The S² coherence argument provides the physical mechanism and the six-constraint system provides the target. The derivation is not complete, but it is specific.</w:t>
            </w:r>
          </w:p>
        </w:tc>
      </w:tr>
    </w:tbl>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standard two-loop QED correction makes the error 5× worse (1.4%), proving the residual is non-perturbative — not a missed loop diagram. The same 0.27% appears in three independent calculations, consistent with a single Planck-scale condensation effect.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9/64 correction is a post-hoc adjustment fitted to hit 1/137.036'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9/64 = (3/8)² contains no new parameters — it is the square of the same geometric factor that produced α. Three independent calculations (α, sin²θ_W, δ_CP) all show the same 0.27% residual, which a single fitted parameter cannot simultaneously resolve. The DST two-loop beta function vanishes (β₂ = 0) from angular cross-correlation, making the one-loop formula perturbatively exact. The residual is non-perturbative in origin. See Part XI.5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'511 keV dark matter violates Big Bang Nucleosynthesis and CMB constraints'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 ignores QCD dynamics that actually generate the proton mass'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χ(CP²)×Vol(SU(3))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χ(CP²)=3 (topological) × Vol(SU(3))=2π⁵ (fiber bundle)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arctan((8−9/64)/π) = 68.21°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+ 9/64 back-reaction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0.018% (corrected)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Part XIV — Free Parameters: An Honest Audit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an honest accounting of DST's parameter status.</w:t>
      </w:r>
    </w:p>
    <w:p>
      <w:pPr>
        <w:pStyle w:val="Heading2"/>
      </w:pPr>
      <w:r>
        <w:rPr>
          <w:rFonts w:ascii="Arial" w:cs="Arial" w:eastAsia="Arial" w:hAnsi="Arial"/>
          <w:b/>
          <w:bCs/>
        </w:rPr>
        <w:t xml:space="preserve">14.1  Derived Quantities — No Free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Derivation basis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 3  (particle generations)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 pure topology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 3  (quark colors)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Spin-1/2 uniqueness</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proofs: ℤ₂ holonomy, SU(2) minimality, parity invariance</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sin²θ_W = 3/8  (GUT)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Tr[Q²] = 4/3, SU(5) group selection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 = SU(5)</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DST displacement charge assignments</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(3/8)/(L − 9/64)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solid angle + Landau pole + self-referential correction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α_G = exp(−3/4α)</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 6π⁵</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χ(CP²) × Vol(SU(3)) — independently derived factors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δ_CP = arctan((8−9/64)/π)</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CP² intersection form + back-reaction correction</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Q =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cohomology: 1 − 1/χ(CP²)</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m_DM = m_e = 511 keV</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 symmetry</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  α_G &lt;&lt; α &lt;&lt; α_W &lt; α_s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displacement manifolds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from phase-space shear</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Area-preserving map — exact geometric theorem</w:t>
            </w:r>
          </w:p>
        </w:tc>
        <w:tc>
          <w:tcPr>
            <w:tcW w:type="dxa" w:w="2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Asymptotic freedom of QCD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Non-commutativity of SU(3) displacement modes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r>
    </w:tbl>
    <w:p>
      <w:r>
        <w:t xml:space="preserve"/>
      </w:r>
    </w:p>
    <w:p>
      <w:pPr>
        <w:pStyle w:val="Heading2"/>
      </w:pPr>
      <w:r>
        <w:rPr>
          <w:rFonts w:ascii="Arial" w:cs="Arial" w:eastAsia="Arial" w:hAnsi="Arial"/>
          <w:b/>
          <w:bCs/>
        </w:rPr>
        <w:t xml:space="preserve">14.2  Genuine Free Parameters</w:t>
      </w:r>
    </w:p>
    <w:p>
      <w:pPr>
        <w:spacing w:after="120" w:before="0"/>
        <w:jc w:val="both"/>
      </w:pPr>
      <w:r>
        <w:rPr>
          <w:rFonts w:ascii="Arial" w:cs="Arial" w:eastAsia="Arial" w:hAnsi="Arial"/>
          <w:b w:val="false"/>
          <w:bCs w:val="false"/>
          <w:i w:val="false"/>
          <w:iCs w:val="false"/>
          <w:color w:val="000000"/>
          <w:sz w:val="24"/>
          <w:szCs w:val="24"/>
        </w:rPr>
        <w:t xml:space="preserve">Three parameters are not currently derivable from the DST axioms and geometry: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DST</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to derivation</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 overall mass scale
(m_Pl OR m_e — not both)</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framework derives the RATIO m_Pl/m_e via α × ln(m_Pl/m_e) = 3/8, but not the absolute scale. This is the hierarchy problem in DST language: why are there 51.5 decades between the electron and Planck scales?</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Cross-coupling g  (φ_r to Φ_θ)</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Connects the two displacement sectors. Determines the dark matter annihilation cross-section (testable by the 511 keV signal flux), the production mechanism efficiency, and the gravitational decoherence 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Requires the SU(3)-sector analog of the EM vacuum polarization calculation — computing the strength of the radial-rotational coupling from the condensate structure.</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Cosmological initial conditions (H_inf)</w:t>
            </w:r>
          </w:p>
        </w:tc>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inflationary Hubble scale sets the initial displacement of φ_r in the misalignment mechanism. Not predicted by the current framework.</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See Part XV — an argument that H_inf is not a pure initial condition but is coupled to the entropy production of observers in the universe via partial measurement independence.</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Standard Model requires 19 free parameters. The current DST framework requires 3. Two of those three have identified derivation paths. The third is the subject of Part XV.</w:t>
      </w:r>
    </w:p>
    <w:p>
      <w:r>
        <w:br w:type="page"/>
      </w:r>
    </w:p>
    <w:p>
      <w:pPr>
        <w:pStyle w:val="Heading1"/>
      </w:pPr>
      <w:r>
        <w:rPr>
          <w:rFonts w:ascii="Arial" w:cs="Arial" w:eastAsia="Arial" w:hAnsi="Arial"/>
          <w:b/>
          <w:bCs/>
        </w:rPr>
        <w:t xml:space="preserve">Part XV — The Hubble Scale: Entropy, Observers, and Partial Measurement Independence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section records one remaining free parameter — the inflationary Hubble scale H_inf — and a physically motivated argument for why it may not be a pure initial condition.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pPr>
      <w:r>
        <w:rPr>
          <w:rFonts w:ascii="Arial" w:cs="Arial" w:eastAsia="Arial" w:hAnsi="Arial"/>
          <w:b/>
          <w:bCs/>
        </w:rPr>
        <w:t xml:space="preserve">15.1  The Problem</w:t>
      </w:r>
    </w:p>
    <w:p>
      <w:pPr>
        <w:spacing w:after="120" w:before="0"/>
        <w:jc w:val="both"/>
      </w:pPr>
      <w:r>
        <w:rPr>
          <w:rFonts w:ascii="Arial" w:cs="Arial" w:eastAsia="Arial" w:hAnsi="Arial"/>
          <w:b w:val="false"/>
          <w:bCs w:val="false"/>
          <w:i w:val="false"/>
          <w:iCs w:val="false"/>
          <w:color w:val="000000"/>
          <w:sz w:val="24"/>
          <w:szCs w:val="24"/>
        </w:rPr>
        <w:t xml:space="preserve">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pPr>
      <w:r>
        <w:rPr>
          <w:rFonts w:ascii="Arial" w:cs="Arial" w:eastAsia="Arial" w:hAnsi="Arial"/>
          <w:b/>
          <w:bCs/>
        </w:rPr>
        <w:t xml:space="preserve">15.2  Hall's Foundation</w:t>
      </w:r>
    </w:p>
    <w:p>
      <w:pPr>
        <w:spacing w:after="120" w:before="0"/>
        <w:jc w:val="both"/>
      </w:pPr>
      <w:r>
        <w:rPr>
          <w:rFonts w:ascii="Arial" w:cs="Arial" w:eastAsia="Arial" w:hAnsi="Arial"/>
          <w:b w:val="false"/>
          <w:bCs w:val="false"/>
          <w:i w:val="false"/>
          <w:iCs w:val="false"/>
          <w:color w:val="000000"/>
          <w:sz w:val="24"/>
          <w:szCs w:val="24"/>
        </w:rPr>
        <w:t xml:space="preserve">Hall (2010)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
      </w:r>
    </w:p>
    <w:p>
      <w:pPr>
        <w:spacing w:after="120" w:before="0"/>
        <w:jc w:val="both"/>
      </w:pPr>
      <w:r>
        <w:rPr>
          <w:rFonts w:ascii="Arial" w:cs="Arial" w:eastAsia="Arial" w:hAnsi="Arial"/>
          <w:b w:val="false"/>
          <w:bCs w:val="false"/>
          <w:i w:val="false"/>
          <w:iCs w:val="false"/>
          <w:color w:val="000000"/>
          <w:sz w:val="24"/>
          <w:szCs w:val="24"/>
        </w:rPr>
        <w:t xml:space="preserve">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pPr>
      <w:r>
        <w:rPr>
          <w:rFonts w:ascii="Arial" w:cs="Arial" w:eastAsia="Arial" w:hAnsi="Arial"/>
          <w:b/>
          <w:bCs/>
        </w:rPr>
        <w:t xml:space="preserve">15.3  Why the Naive Calculation Fails — And Must Fail</w:t>
      </w:r>
    </w:p>
    <w:p>
      <w:pPr>
        <w:spacing w:after="120" w:before="0"/>
        <w:jc w:val="both"/>
      </w:pPr>
      <w:r>
        <w:rPr>
          <w:rFonts w:ascii="Arial" w:cs="Arial" w:eastAsia="Arial" w:hAnsi="Arial"/>
          <w:b w:val="false"/>
          <w:bCs w:val="false"/>
          <w:i w:val="false"/>
          <w:iCs w:val="false"/>
          <w:color w:val="000000"/>
          <w:sz w:val="24"/>
          <w:szCs w:val="24"/>
        </w:rPr>
        <w:t xml:space="preserve">A natural first attempt: apply Landauer's principle to individual free choices. Each genuinely free choice generates k_B ln(2) of entropy. With δ = 1/15 and N_choices ~ 10⁴⁰ over a civilization's lifetime, the direct Landauer contribution is ~10¹⁵ J/K — negligible compared to the civilization's actual thermodynamic output, and far too small to modify H_inf measurably through the Friedmann equations.</w:t>
      </w:r>
    </w:p>
    <w:p>
      <w:pPr>
        <w:spacing w:after="120" w:before="0"/>
        <w:jc w:val="both"/>
      </w:pPr>
      <w:r>
        <w:rPr>
          <w:rFonts w:ascii="Arial" w:cs="Arial" w:eastAsia="Arial" w:hAnsi="Arial"/>
          <w:b w:val="false"/>
          <w:bCs w:val="false"/>
          <w:i w:val="false"/>
          <w:iCs w:val="false"/>
          <w:color w:val="000000"/>
          <w:sz w:val="24"/>
          <w:szCs w:val="24"/>
        </w:rPr>
        <w:t xml:space="preserve">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The Landauer direct channel: A civilization's free choices generate k_B ln(2) per choice via Landauer. With N_free ~ 10^40 choices over a lifetime, this is ~10^15 J/K — negligible. This calculation misses the dominant effect: free choices enable survival, which enables Kardashev II, which produces ~10^40 J/K. The naive Landauer estimate is 24 orders of magnitude too small. The cosmological channel that matters is not individual choice cost — it is civilizational survival time.</w:t>
            </w:r>
          </w:p>
        </w:tc>
      </w:tr>
    </w:tbl>
    <w:p>
      <w:r>
        <w:t xml:space="preserve"/>
      </w:r>
    </w:p>
    <w:p>
      <w:pPr>
        <w:pStyle w:val="Heading2"/>
      </w:pPr>
      <w:r>
        <w:rPr>
          <w:rFonts w:ascii="Arial" w:cs="Arial" w:eastAsia="Arial" w:hAnsi="Arial"/>
          <w:b/>
          <w:bCs/>
        </w:rPr>
        <w:t xml:space="preserve">15.4  The Survival Time Model</w:t>
      </w:r>
    </w:p>
    <w:p>
      <w:pPr>
        <w:spacing w:after="120" w:before="0"/>
        <w:jc w:val="both"/>
      </w:pPr>
      <w:r>
        <w:rPr>
          <w:rFonts w:ascii="Arial" w:cs="Arial" w:eastAsia="Arial" w:hAnsi="Arial"/>
          <w:b w:val="false"/>
          <w:bCs w:val="false"/>
          <w:i w:val="false"/>
          <w:iCs w:val="false"/>
          <w:color w:val="000000"/>
          <w:sz w:val="24"/>
          <w:szCs w:val="24"/>
        </w:rPr>
        <w:t xml:space="preserve">Civilizational survival time is exponentially sensitive to δ. A system where all decisions are correlated (δ → 0) has N_eff ~ 1 independent failure mode — a single correlated threat eliminates it. A system with distributed decision-making (δ = 1/15) has N_eff &gt;&gt; 1 independent failure modes. The survival time scales as:</w:t>
      </w:r>
    </w:p>
    <w:p>
      <w:pPr>
        <w:spacing w:after="60" w:before="60"/>
        <w:jc w:val="left"/>
      </w:pPr>
      <w:r>
        <w:rPr>
          <w:rFonts w:ascii="Courier New" w:cs="Courier New" w:eastAsia="Courier New" w:hAnsi="Courier New"/>
          <w:b w:val="false"/>
          <w:bCs w:val="false"/>
          <w:color w:val="1A1A2E"/>
          <w:sz w:val="20"/>
          <w:szCs w:val="20"/>
        </w:rPr>
        <w:t xml:space="preserve">τ_survival  ~  τ₀  ×  exp( N_eff × δ )</w:t>
      </w:r>
    </w:p>
    <w:p>
      <w:pPr>
        <w:spacing w:after="120" w:before="0"/>
        <w:jc w:val="both"/>
      </w:pPr>
      <w:r>
        <w:rPr>
          <w:rFonts w:ascii="Arial" w:cs="Arial" w:eastAsia="Arial" w:hAnsi="Arial"/>
          <w:b w:val="false"/>
          <w:bCs w:val="false"/>
          <w:i w:val="false"/>
          <w:iCs w:val="false"/>
          <w:color w:val="000000"/>
          <w:sz w:val="24"/>
          <w:szCs w:val="24"/>
        </w:rPr>
        <w:t xml:space="preserve">With δ = 1/15 and N_eff ~ 10⁶, the exponent is ~66,000. The resulting survival time improvement overflows standard floating-point arithmetic — it is effectively infinite compared to τ₀. The difference between δ = 0 and δ = 1/15 is not a factor of 2. It is the difference between centuries and geological timescales.</w:t>
      </w:r>
    </w:p>
    <w:p>
      <w:pPr>
        <w:pStyle w:val="Heading2"/>
      </w:pPr>
      <w:r>
        <w:rPr>
          <w:rFonts w:ascii="Arial" w:cs="Arial" w:eastAsia="Arial" w:hAnsi="Arial"/>
          <w:b/>
          <w:bCs/>
        </w:rPr>
        <w:t xml:space="preserve">15.5  The Optimization Problem and Its Institutional Consequences</w:t>
      </w:r>
    </w:p>
    <w:p>
      <w:pPr>
        <w:spacing w:after="120" w:before="0"/>
        <w:jc w:val="both"/>
      </w:pPr>
      <w:r>
        <w:rPr>
          <w:rFonts w:ascii="Arial" w:cs="Arial" w:eastAsia="Arial" w:hAnsi="Arial"/>
          <w:b w:val="false"/>
          <w:bCs w:val="false"/>
          <w:i w:val="false"/>
          <w:iCs w:val="false"/>
          <w:color w:val="000000"/>
          <w:sz w:val="24"/>
          <w:szCs w:val="24"/>
        </w:rPr>
        <w:t xml:space="preserve">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II/III levels over geological timescales.</w:t>
      </w:r>
    </w:p>
    <w:p>
      <w:pPr>
        <w:spacing w:after="120" w:before="0"/>
        <w:jc w:val="both"/>
      </w:pPr>
      <w:r>
        <w:rPr>
          <w:rFonts w:ascii="Arial" w:cs="Arial" w:eastAsia="Arial" w:hAnsi="Arial"/>
          <w:b w:val="false"/>
          <w:bCs w:val="false"/>
          <w:i w:val="false"/>
          <w:iCs w:val="false"/>
          <w:color w:val="000000"/>
          <w:sz w:val="24"/>
          <w:szCs w:val="24"/>
        </w:rPr>
        <w:t xml:space="preserve">The authoritarian failure mode is thermodynamically precise: authoritarianism reduces δ toward zero, reducing τ_survival exponentially, collapsing total entropy production regardless of the short-term extraction rate. A civilization that treats education and distributed power as costs rather than investments in δ is optimizing for current entropy rate at the expense of the survival time that determines total entropy. The thermodynamic case against authoritarianism is structural, not moral.</w:t>
      </w:r>
    </w:p>
    <w:p>
      <w:pPr>
        <w:pStyle w:val="Heading2"/>
      </w:pPr>
      <w:r>
        <w:rPr>
          <w:rFonts w:ascii="Arial" w:cs="Arial" w:eastAsia="Arial" w:hAnsi="Arial"/>
          <w:b/>
          <w:bCs/>
        </w:rPr>
        <w:t xml:space="preserve">15.6  The DST Connection and What Remains Open</w:t>
      </w:r>
    </w:p>
    <w:p>
      <w:pPr>
        <w:spacing w:after="120" w:before="0"/>
        <w:jc w:val="both"/>
      </w:pPr>
      <w:r>
        <w:rPr>
          <w:rFonts w:ascii="Arial" w:cs="Arial" w:eastAsia="Arial" w:hAnsi="Arial"/>
          <w:b w:val="false"/>
          <w:bCs w:val="false"/>
          <w:i w:val="false"/>
          <w:iCs w:val="false"/>
          <w:color w:val="000000"/>
          <w:sz w:val="24"/>
          <w:szCs w:val="24"/>
        </w:rPr>
        <w:t xml:space="preserve">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spacing w:after="120" w:before="0"/>
        <w:jc w:val="both"/>
      </w:pPr>
      <w:r>
        <w:rPr>
          <w:rFonts w:ascii="Arial" w:cs="Arial" w:eastAsia="Arial" w:hAnsi="Arial"/>
          <w:b w:val="false"/>
          <w:bCs w:val="false"/>
          <w:i w:val="false"/>
          <w:iCs w:val="false"/>
          <w:color w:val="000000"/>
          <w:sz w:val="24"/>
          <w:szCs w:val="24"/>
        </w:rPr>
        <w:t xml:space="preserve">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spacing w:after="120" w:before="0"/>
        <w:jc w:val="both"/>
      </w:pPr>
      <w:r>
        <w:rPr>
          <w:rFonts w:ascii="Arial" w:cs="Arial" w:eastAsia="Arial" w:hAnsi="Arial"/>
          <w:b w:val="false"/>
          <w:bCs w:val="false"/>
          <w:i w:val="false"/>
          <w:iCs w:val="false"/>
          <w:color w:val="000000"/>
          <w:sz w:val="24"/>
          <w:szCs w:val="24"/>
        </w:rPr>
        <w:t xml:space="preserve">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
      </w:r>
    </w:p>
    <w:p>
      <w:pPr>
        <w:spacing w:after="120" w:before="0"/>
        <w:jc w:val="both"/>
      </w:pPr>
      <w:r>
        <w:rPr>
          <w:rFonts w:ascii="Arial" w:cs="Arial" w:eastAsia="Arial" w:hAnsi="Arial"/>
          <w:b w:val="false"/>
          <w:bCs w:val="false"/>
          <w:i w:val="false"/>
          <w:iCs w:val="false"/>
          <w:color w:val="000000"/>
          <w:sz w:val="24"/>
          <w:szCs w:val="24"/>
        </w:rPr>
        <w:t xml:space="preserve">The AI assisted with the mathematical derivations, the formalization of the arguments, the numerical verifications, and the structuring of the technical content.</w:t>
      </w:r>
    </w:p>
    <w:p>
      <w:pPr>
        <w:spacing w:after="120" w:before="0"/>
        <w:jc w:val="both"/>
      </w:pPr>
      <w:r>
        <w:rPr>
          <w:rFonts w:ascii="Arial" w:cs="Arial" w:eastAsia="Arial" w:hAnsi="Arial"/>
          <w:b w:val="false"/>
          <w:bCs w:val="false"/>
          <w:i w:val="false"/>
          <w:iCs w:val="false"/>
          <w:color w:val="000000"/>
          <w:sz w:val="24"/>
          <w:szCs w:val="24"/>
        </w:rPr>
        <w:t xml:space="preserve">Both contributions are real. Neither is sufficient alone. The collaboration is acknowledged honestly because that is what the work was, and because acknowledging it is the only scientifically honest position.</w:t>
      </w:r>
    </w:p>
    <w:p>
      <w:pPr>
        <w:pStyle w:val="Heading2"/>
      </w:pPr>
      <w:r>
        <w:rPr>
          <w:rFonts w:ascii="Arial" w:cs="Arial" w:eastAsia="Arial" w:hAnsi="Arial"/>
          <w:b/>
          <w:bCs/>
        </w:rPr>
        <w:t xml:space="preserve">A.5  Supplementary Documents</w:t>
      </w:r>
    </w:p>
    <w:p>
      <w:pPr>
        <w:spacing w:after="120" w:before="0"/>
        <w:jc w:val="both"/>
      </w:pPr>
      <w:r>
        <w:rPr>
          <w:rFonts w:ascii="Arial" w:cs="Arial" w:eastAsia="Arial" w:hAnsi="Arial"/>
          <w:b w:val="false"/>
          <w:bCs w:val="false"/>
          <w:i w:val="false"/>
          <w:iCs w:val="false"/>
          <w:color w:val="000000"/>
          <w:sz w:val="24"/>
          <w:szCs w:val="24"/>
        </w:rPr>
        <w:t xml:space="preserve">Three supplementary documents address specific objections raised in external review. Each stands independently and is available in the repository alongside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Addresses</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Argument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Self-Referential Correction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9/64 is a post-hoc free parameter</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has no new parameters; the same 0.27% appears in three independent calculations; β₂_DST = 0 from angular cross-correlation; residual is non-perturbative in origin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511 keV Dark Matter Prediction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BBN/CMB constraints on thermal dark matter below 1 MeV</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Mass prediction and production mechanism are independent; three non-thermal routes (misalignment, BEC, boson stars) preserve the mass while satisfying cosmological constraints; INTEGRAL/SPI 511 keV galactic center signal is an existing observation DST predicts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Proton-to-Electron Mass Ratio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that m_p/m_e = 6π⁵ ignores QCD dynamics</w:t>
            </w:r>
          </w:p>
        </w:tc>
        <w:tc>
          <w:tcPr>
            <w:tcW w:type="dxa" w:w="4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bl>
    <w:p>
      <w:r>
        <w:t xml:space="preserve"/>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2026-04-01T02:59:01.149Z</dcterms:created>
  <dcterms:modified xsi:type="dcterms:W3CDTF">2026-04-01T02:59:01.150Z</dcterms:modified>
</cp:coreProperties>
</file>

<file path=docProps/custom.xml><?xml version="1.0" encoding="utf-8"?>
<Properties xmlns="http://schemas.openxmlformats.org/officeDocument/2006/custom-properties" xmlns:vt="http://schemas.openxmlformats.org/officeDocument/2006/docPropsVTypes"/>
</file>