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jc w:val="center"/>
      </w:pPr>
      <w:r>
        <w:rPr>
          <w:rFonts w:ascii="Arial" w:cs="Arial" w:eastAsia="Arial" w:hAnsi="Arial"/>
          <w:b/>
          <w:bCs/>
          <w:color w:val="0A1E2E"/>
          <w:sz w:val="44"/>
          <w:szCs w:val="44"/>
        </w:rPr>
        <w:t xml:space="preserve">FOUR FORCES, FOUR DISPLACEMENTS</w:t>
      </w:r>
    </w:p>
    <w:p>
      <w:pPr>
        <w:spacing w:after="0" w:before="60"/>
        <w:jc w:val="center"/>
      </w:pPr>
      <w:r>
        <w:rPr>
          <w:rFonts w:ascii="Arial" w:cs="Arial" w:eastAsia="Arial" w:hAnsi="Arial"/>
          <w:i/>
          <w:iCs/>
          <w:color w:val="445566"/>
          <w:sz w:val="24"/>
          <w:szCs w:val="24"/>
        </w:rPr>
        <w:t xml:space="preserve">A geometric survey of all fundamental forces in the DST framework</w:t>
      </w:r>
    </w:p>
    <w:p>
      <w:pPr>
        <w:spacing w:after="0" w:before="100"/>
      </w:pPr>
      <w:r>
        <w:t xml:space="preserve"/>
      </w:r>
    </w:p>
    <w:p>
      <w:pPr>
        <w:jc w:val="center"/>
      </w:pPr>
      <w:r>
        <w:rPr>
          <w:rFonts w:ascii="Arial" w:cs="Arial" w:eastAsia="Arial" w:hAnsi="Arial"/>
          <w:color w:val="778899"/>
          <w:sz w:val="20"/>
          <w:szCs w:val="20"/>
        </w:rPr>
        <w:t xml:space="preserve">Ninth document  ·  Baltimore, MD  ·  March 2026</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The Central Claim</w:t>
      </w:r>
    </w:p>
    <w:p>
      <w:pPr>
        <w:pBdr>
          <w:top w:val="single" w:color="0088CC" w:sz="4" w:space="4"/>
          <w:bottom w:val="single" w:color="0088CC" w:sz="4" w:space="4"/>
          <w:left w:val="single" w:color="0088CC" w:sz="18" w:space="8"/>
        </w:pBdr>
        <w:shd w:fill="E0F0FF" w:val="clear"/>
        <w:spacing w:after="100" w:before="100"/>
        <w:ind w:left="400" w:right="400"/>
      </w:pPr>
      <w:r>
        <w:rPr>
          <w:rFonts w:ascii="Arial" w:cs="Arial" w:eastAsia="Arial" w:hAnsi="Arial"/>
          <w:color w:val="1A2A3A"/>
          <w:sz w:val="21"/>
          <w:szCs w:val="21"/>
        </w:rPr>
        <w:t xml:space="preserve">In DST, the four fundamental forces correspond to four displacement types of spacetime. The strength of each force — and the pattern of coupling constants across energy scales — is determined by the geometry of the corresponding displacement manifold. Compactness determines whether suppression is exponential or logarithmic. Commutativity determines whether asymptotic freedom occurs.</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1.  The Mapping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00"/>
        <w:gridCol w:w="176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Force</w:t>
            </w:r>
          </w:p>
        </w:tc>
        <w:tc>
          <w:tcPr>
            <w:tcW w:type="dxa" w:w="220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Displacement type</w:t>
            </w:r>
          </w:p>
        </w:tc>
        <w:tc>
          <w:tcPr>
            <w:tcW w:type="dxa" w:w="220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Manifold</w:t>
            </w:r>
          </w:p>
        </w:tc>
        <w:tc>
          <w:tcPr>
            <w:tcW w:type="dxa" w:w="160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Abelian?</w:t>
            </w:r>
          </w:p>
        </w:tc>
        <w:tc>
          <w:tcPr>
            <w:tcW w:type="dxa" w:w="1760"/>
            <w:tcBorders>
              <w:top w:val="single" w:color="CCCCCC" w:sz="1"/>
              <w:left w:val="single" w:color="CCCCCC" w:sz="1"/>
              <w:bottom w:val="single" w:color="CCCCCC" w:sz="1"/>
              <w:right w:val="single" w:color="CCCCCC" w:sz="1"/>
            </w:tcBorders>
            <w:shd w:fill="2E4057"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Coupling type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Gravity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Radial dilation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ℝ⁺  non-compact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exp(-2 ln)  ~10⁻⁴⁵</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EM</w:t>
            </w:r>
          </w:p>
        </w:tc>
        <w:tc>
          <w:tcPr>
            <w:tcW w:type="dxa" w:w="2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U(1) rotation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S²  compact</w:t>
            </w:r>
          </w:p>
        </w:tc>
        <w:tc>
          <w:tcPr>
            <w:tcW w:type="dxa" w:w="16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1/ln  ≈ 1/137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Weak</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SU(2) rotation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compact ~S³</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2A3A"/>
                <w:sz w:val="18"/>
                <w:szCs w:val="18"/>
              </w:rPr>
              <w:t xml:space="preserve">intermediate</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Strong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SU(3) color</w:t>
            </w:r>
          </w:p>
        </w:tc>
        <w:tc>
          <w:tcPr>
            <w:tcW w:type="dxa" w:w="22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compact coset</w:t>
            </w:r>
          </w:p>
        </w:tc>
        <w:tc>
          <w:tcPr>
            <w:tcW w:type="dxa" w:w="16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No</w:t>
            </w:r>
          </w:p>
        </w:tc>
        <w:tc>
          <w:tcPr>
            <w:tcW w:type="dxa" w:w="176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pPr>
              <w:jc w:val="center"/>
            </w:pPr>
            <w:r>
              <w:rPr>
                <w:rFonts w:ascii="Arial" w:cs="Arial" w:eastAsia="Arial" w:hAnsi="Arial"/>
                <w:color w:val="1A2A3A"/>
                <w:sz w:val="18"/>
                <w:szCs w:val="18"/>
              </w:rPr>
              <w:t xml:space="preserve">near-unity</w:t>
            </w:r>
          </w:p>
        </w:tc>
      </w:tr>
    </w:tbl>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2.  The Geometric Signature</w:t>
      </w:r>
    </w:p>
    <w:p>
      <w:pPr>
        <w:spacing w:after="120" w:before="0"/>
      </w:pPr>
      <w:r>
        <w:rPr>
          <w:rFonts w:ascii="Arial" w:cs="Arial" w:eastAsia="Arial" w:hAnsi="Arial"/>
          <w:sz w:val="22"/>
          <w:szCs w:val="22"/>
        </w:rPr>
        <w:t xml:space="preserve">In DST, the coupling constant at the Planck scale can be written as:</w:t>
      </w:r>
    </w:p>
    <w:p>
      <w:pPr>
        <w:spacing w:after="0" w:before="40"/>
      </w:pPr>
      <w:r>
        <w:t xml:space="preserve"/>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α_i(m_Pl)  =  [geometric measure of displacement manifold_i]  /  ln(m_Pl/m_e)</w:t>
      </w:r>
    </w:p>
    <w:p>
      <w:pPr>
        <w:spacing w:after="0" w:before="60"/>
      </w:pPr>
      <w:r>
        <w:t xml:space="preserve"/>
      </w:r>
    </w:p>
    <w:p>
      <w:pPr>
        <w:spacing w:after="120" w:before="0"/>
      </w:pPr>
      <w:r>
        <w:rPr>
          <w:rFonts w:ascii="Arial" w:cs="Arial" w:eastAsia="Arial" w:hAnsi="Arial"/>
          <w:sz w:val="22"/>
          <w:szCs w:val="22"/>
        </w:rPr>
        <w:t xml:space="preserve">The quantity α_i × ln(m_Pl/m_e) is the geometric measure of the displacement manifold. Computed from observed couplings run to the Planck scale: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Force</w:t>
            </w:r>
          </w:p>
        </w:tc>
        <w:tc>
          <w:tcPr>
            <w:tcW w:type="dxa" w:w="2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α_i at m_Pl</w:t>
            </w:r>
          </w:p>
        </w:tc>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α_i × ln(m_Pl/m_e)</w:t>
            </w:r>
          </w:p>
        </w:tc>
        <w:tc>
          <w:tcPr>
            <w:tcW w:type="dxa" w:w="27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pPr>
              <w:jc w:val="center"/>
            </w:pPr>
            <w:r>
              <w:rPr>
                <w:rFonts w:ascii="Arial" w:cs="Arial" w:eastAsia="Arial" w:hAnsi="Arial"/>
                <w:b/>
                <w:bCs/>
                <w:color w:val="FFFFFF"/>
                <w:sz w:val="17"/>
                <w:szCs w:val="17"/>
              </w:rPr>
              <w:t xml:space="preserve">Geometric identity</w:t>
            </w:r>
          </w:p>
        </w:tc>
      </w:tr>
      <w:tr>
        <w:tc>
          <w:tcPr>
            <w:tcW w:type="dxa" w:w="20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pPr>
              <w:jc w:val="center"/>
            </w:pPr>
            <w:r>
              <w:rPr>
                <w:rFonts w:ascii="Arial" w:cs="Arial" w:eastAsia="Arial" w:hAnsi="Arial"/>
                <w:b/>
                <w:bCs/>
                <w:color w:val="1A6020"/>
                <w:sz w:val="17"/>
                <w:szCs w:val="17"/>
              </w:rPr>
              <w:t xml:space="preserve">EM (at m_e)</w:t>
            </w:r>
          </w:p>
        </w:tc>
        <w:tc>
          <w:tcPr>
            <w:tcW w:type="dxa" w:w="22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pPr>
              <w:jc w:val="center"/>
            </w:pPr>
            <w:r>
              <w:rPr>
                <w:rFonts w:ascii="Courier New" w:cs="Courier New" w:eastAsia="Courier New" w:hAnsi="Courier New"/>
                <w:b/>
                <w:bCs/>
                <w:color w:val="1A6020"/>
                <w:sz w:val="17"/>
                <w:szCs w:val="17"/>
              </w:rPr>
              <w:t xml:space="preserve">1/137.04</w:t>
            </w:r>
          </w:p>
        </w:tc>
        <w:tc>
          <w:tcPr>
            <w:tcW w:type="dxa" w:w="24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pPr>
              <w:jc w:val="center"/>
            </w:pPr>
            <w:r>
              <w:rPr>
                <w:rFonts w:ascii="Courier New" w:cs="Courier New" w:eastAsia="Courier New" w:hAnsi="Courier New"/>
                <w:b/>
                <w:bCs/>
                <w:color w:val="1A6020"/>
                <w:sz w:val="17"/>
                <w:szCs w:val="17"/>
              </w:rPr>
              <w:t xml:space="preserve">0.376</w:t>
            </w:r>
          </w:p>
        </w:tc>
        <w:tc>
          <w:tcPr>
            <w:tcW w:type="dxa" w:w="276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pPr>
              <w:jc w:val="center"/>
            </w:pPr>
            <w:r>
              <w:rPr>
                <w:rFonts w:ascii="Courier New" w:cs="Courier New" w:eastAsia="Courier New" w:hAnsi="Courier New"/>
                <w:b/>
                <w:bCs/>
                <w:color w:val="1A6020"/>
                <w:sz w:val="17"/>
                <w:szCs w:val="17"/>
              </w:rPr>
              <w:t xml:space="preserve">= 3/8  (DERIVED — exact at one loop)</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b w:val="false"/>
                <w:bCs w:val="false"/>
                <w:color w:val="1A2A3A"/>
                <w:sz w:val="17"/>
                <w:szCs w:val="17"/>
              </w:rPr>
              <w:t xml:space="preserve">EM (at m_Pl)</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1/180.8</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0.285</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 3/8 × (1 − two-loop correction)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A2A3A"/>
                <w:sz w:val="17"/>
                <w:szCs w:val="17"/>
              </w:rPr>
              <w:t xml:space="preserve">Strong SU(3)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1/52.4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0.983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 1  (≈ 4π/e — under investigation)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b w:val="false"/>
                <w:bCs w:val="false"/>
                <w:color w:val="1A2A3A"/>
                <w:sz w:val="17"/>
                <w:szCs w:val="17"/>
              </w:rPr>
              <w:t xml:space="preserve">Weak SU(2)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1/40.0</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1.288</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 4/π × 1  (under investigation)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A2A3A"/>
                <w:sz w:val="17"/>
                <w:szCs w:val="17"/>
              </w:rPr>
              <w:t xml:space="preserve">U(1)_Y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1/55.5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0.928</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 1  (similar to strong)</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Arial" w:cs="Arial" w:eastAsia="Arial" w:hAnsi="Arial"/>
                <w:b w:val="false"/>
                <w:bCs w:val="false"/>
                <w:color w:val="1A2A3A"/>
                <w:sz w:val="17"/>
                <w:szCs w:val="17"/>
              </w:rPr>
              <w:t xml:space="preserve">Gravity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1.75×10⁻⁴⁵</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 0</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b w:val="false"/>
                <w:bCs w:val="false"/>
                <w:color w:val="1A2A3A"/>
                <w:sz w:val="17"/>
                <w:szCs w:val="17"/>
              </w:rPr>
              <w:t xml:space="preserve">doubly exponential (non-compact)</w:t>
            </w:r>
          </w:p>
        </w:tc>
      </w:tr>
    </w:tbl>
    <w:p>
      <w:pPr>
        <w:spacing w:after="0" w:before="100"/>
      </w:pPr>
      <w:r>
        <w:t xml:space="preserve"/>
      </w:r>
    </w:p>
    <w:p>
      <w:pPr>
        <w:pBdr>
          <w:top w:val="single" w:color="CC8800" w:sz="4" w:space="4"/>
          <w:bottom w:val="single" w:color="CC8800" w:sz="4" w:space="4"/>
          <w:left w:val="single" w:color="CC8800" w:sz="18" w:space="8"/>
        </w:pBdr>
        <w:shd w:fill="FFF8E8" w:val="clear"/>
        <w:spacing w:after="100" w:before="100"/>
        <w:ind w:left="400" w:right="400"/>
      </w:pPr>
      <w:r>
        <w:rPr>
          <w:rFonts w:ascii="Arial" w:cs="Arial" w:eastAsia="Arial" w:hAnsi="Arial"/>
          <w:color w:val="1A2A3A"/>
          <w:sz w:val="21"/>
          <w:szCs w:val="21"/>
        </w:rPr>
        <w:t xml:space="preserve">The EM result (α × ln = 3/8) is derived from DST axioms. The strong and weak results (α × ln ≈ 1) are phenomenological — computed from observed couplings run to the Planck scale. The similarity between strong and U(1)_Y at the Planck scale is consistent with GUT unification, where they merge. The DST framework reproduces this pattern from displacement geometry.</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3.  Why the Coupling Hierarchy Is What It Is</w:t>
      </w:r>
    </w:p>
    <w:p>
      <w:pPr>
        <w:pStyle w:val="Heading2"/>
        <w:spacing w:after="120" w:before="280"/>
      </w:pPr>
      <w:r>
        <w:rPr>
          <w:rFonts w:ascii="Arial" w:cs="Arial" w:eastAsia="Arial" w:hAnsi="Arial"/>
          <w:b/>
          <w:bCs/>
          <w:sz w:val="26"/>
          <w:szCs w:val="26"/>
        </w:rPr>
        <w:t xml:space="preserve">3.1  Gravity: Exponential Suppression from Non-Compactness</w:t>
      </w:r>
    </w:p>
    <w:p>
      <w:pPr>
        <w:spacing w:after="120" w:before="0"/>
      </w:pPr>
      <w:r>
        <w:rPr>
          <w:rFonts w:ascii="Arial" w:cs="Arial" w:eastAsia="Arial" w:hAnsi="Arial"/>
          <w:sz w:val="22"/>
          <w:szCs w:val="22"/>
        </w:rPr>
        <w:t xml:space="preserve">The radial displacement manifold is the scale axis ℝ⁺ — non-compact. Its measure is logarithmic:</w:t>
      </w:r>
    </w:p>
    <w:p>
      <w:pPr>
        <w:spacing w:after="0" w:before="40"/>
      </w:pPr>
      <w:r>
        <w:t xml:space="preserve"/>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N_eff,gravity  =  ∫_lPl^λC dr/r  =  ln(m_Pl/m_e)  ≈  51.5</w:t>
      </w:r>
    </w:p>
    <w:p>
      <w:pPr>
        <w:spacing w:after="0" w:before="60"/>
      </w:pPr>
      <w:r>
        <w:t xml:space="preserve"/>
      </w:r>
    </w:p>
    <w:p>
      <w:pPr>
        <w:spacing w:after="120" w:before="0"/>
      </w:pPr>
      <w:r>
        <w:rPr>
          <w:rFonts w:ascii="Arial" w:cs="Arial" w:eastAsia="Arial" w:hAnsi="Arial"/>
          <w:sz w:val="22"/>
          <w:szCs w:val="22"/>
        </w:rPr>
        <w:t xml:space="preserve">This logarithmic N enters the coupling exponentially — the coupling is not proportional to N but to exp(−2N/something). Gravity is not just weak; it is doubly-exponentially weak. This is not a coincidence or a fine-tuning — it is a consequence of the displacement manifold being non-compact.</w:t>
      </w:r>
    </w:p>
    <w:p>
      <w:pPr>
        <w:pStyle w:val="Heading2"/>
        <w:spacing w:after="120" w:before="280"/>
      </w:pPr>
      <w:r>
        <w:rPr>
          <w:rFonts w:ascii="Arial" w:cs="Arial" w:eastAsia="Arial" w:hAnsi="Arial"/>
          <w:b/>
          <w:bCs/>
          <w:sz w:val="26"/>
          <w:szCs w:val="26"/>
        </w:rPr>
        <w:t xml:space="preserve">3.2  EM: Logarithmic Suppression from Compact S²</w:t>
      </w:r>
    </w:p>
    <w:p>
      <w:pPr>
        <w:spacing w:after="120" w:before="0"/>
      </w:pPr>
      <w:r>
        <w:rPr>
          <w:rFonts w:ascii="Arial" w:cs="Arial" w:eastAsia="Arial" w:hAnsi="Arial"/>
          <w:sz w:val="22"/>
          <w:szCs w:val="22"/>
        </w:rPr>
        <w:t xml:space="preserve">The rotational displacement manifold is the 2-sphere S² — compact with finite measure 4π. The coupling at low energies is:</w:t>
      </w:r>
    </w:p>
    <w:p>
      <w:pPr>
        <w:spacing w:after="0" w:before="40"/>
      </w:pPr>
      <w:r>
        <w:t xml:space="preserve"/>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α  =  3/(8 × ln(m_Pl/m_e))  =  3/(8 × 51.5)  ≈  1/137</w:t>
      </w:r>
    </w:p>
    <w:p>
      <w:pPr>
        <w:spacing w:after="0" w:before="60"/>
      </w:pPr>
      <w:r>
        <w:t xml:space="preserve"/>
      </w:r>
    </w:p>
    <w:p>
      <w:pPr>
        <w:spacing w:after="120" w:before="0"/>
      </w:pPr>
      <w:r>
        <w:rPr>
          <w:rFonts w:ascii="Arial" w:cs="Arial" w:eastAsia="Arial" w:hAnsi="Arial"/>
          <w:sz w:val="22"/>
          <w:szCs w:val="22"/>
        </w:rPr>
        <w:t xml:space="preserve">The S² measure (4π, the solid angle of all rotation axes) contributes the factor 3/8 to the numerator. The dilation logarithm (51.5) is in the denominator. Both displacement types appear in the single formula for α.</w:t>
      </w:r>
    </w:p>
    <w:p>
      <w:pPr>
        <w:pStyle w:val="Heading2"/>
        <w:spacing w:after="120" w:before="280"/>
      </w:pPr>
      <w:r>
        <w:rPr>
          <w:rFonts w:ascii="Arial" w:cs="Arial" w:eastAsia="Arial" w:hAnsi="Arial"/>
          <w:b/>
          <w:bCs/>
          <w:sz w:val="26"/>
          <w:szCs w:val="26"/>
        </w:rPr>
        <w:t xml:space="preserve">3.3  Strong and Weak: Smaller Compact Manifolds</w:t>
      </w:r>
    </w:p>
    <w:p>
      <w:pPr>
        <w:spacing w:after="120" w:before="0"/>
      </w:pPr>
      <w:r>
        <w:rPr>
          <w:rFonts w:ascii="Arial" w:cs="Arial" w:eastAsia="Arial" w:hAnsi="Arial"/>
          <w:sz w:val="22"/>
          <w:szCs w:val="22"/>
        </w:rPr>
        <w:t xml:space="preserve">The strong (SU(3)) and weak (SU(2)) force displacements have compact manifolds — but smaller than the EM S². At the Planck scale, their geometric measures are of order 1, meaning the coupling starts near unity and is not strongly suppressed by the scale hierarchy.</w:t>
      </w:r>
    </w:p>
    <w:p>
      <w:pPr>
        <w:spacing w:after="0" w:before="60"/>
      </w:pPr>
      <w:r>
        <w:t xml:space="preserve"/>
      </w:r>
    </w:p>
    <w:p>
      <w:pPr>
        <w:spacing w:after="120" w:before="0"/>
      </w:pPr>
      <w:r>
        <w:rPr>
          <w:rFonts w:ascii="Arial" w:cs="Arial" w:eastAsia="Arial" w:hAnsi="Arial"/>
          <w:sz w:val="22"/>
          <w:szCs w:val="22"/>
        </w:rPr>
        <w:t xml:space="preserve">However: at low energies, the strong coupling grows rather than shrinks. This is asymptotic freedom, and its origin in DST is the next section.</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4.  Asymptotic Freedom from DST Commutativity</w:t>
      </w:r>
    </w:p>
    <w:p>
      <w:pPr>
        <w:spacing w:after="120" w:before="0"/>
      </w:pPr>
      <w:r>
        <w:rPr>
          <w:rFonts w:ascii="Arial" w:cs="Arial" w:eastAsia="Arial" w:hAnsi="Arial"/>
          <w:sz w:val="22"/>
          <w:szCs w:val="22"/>
        </w:rPr>
        <w:t xml:space="preserve">This is the most structurally important prediction of the four-force survey. The sign of the beta function — which determines whether a coupling grows or shrinks with energy — is determined by the commutativity of the displacement.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Abelian (EM): U(1)</w:t>
            </w:r>
          </w:p>
        </w:tc>
        <w:tc>
          <w:tcPr>
            <w:tcW w:type="dxa" w:w="468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Non-Abelian (QCD): SU(3)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A3A"/>
                <w:sz w:val="19"/>
                <w:szCs w:val="19"/>
              </w:rPr>
              <w:t xml:space="preserve">Rotations COMMUTE:
e^{iαT} e^{iβT} = e^{iβT} e^{iαT}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A3A"/>
                <w:sz w:val="19"/>
                <w:szCs w:val="19"/>
              </w:rPr>
              <w:t xml:space="preserve">Rotations DO NOT commute:
[T_a, T_b] = i f_{abc} T_c</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1A2A3A"/>
                <w:sz w:val="19"/>
                <w:szCs w:val="19"/>
              </w:rPr>
              <w:t xml:space="preserve">Photons have no color charge
Photons do not interact with each other</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1A2A3A"/>
                <w:sz w:val="19"/>
                <w:szCs w:val="19"/>
              </w:rPr>
              <w:t xml:space="preserve">Gluons carry color charge
Gluons interact with each other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A3A"/>
                <w:sz w:val="19"/>
                <w:szCs w:val="19"/>
              </w:rPr>
              <w:t xml:space="preserve">Only fermion loops contribute to β
β &gt; 0: coupling grows with energy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A3A"/>
                <w:sz w:val="19"/>
                <w:szCs w:val="19"/>
              </w:rPr>
              <w:t xml:space="preserve">Gluon loops subtract from β
Net β &gt; 0: coupling SHRINKS with energy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1A2A3A"/>
                <w:sz w:val="19"/>
                <w:szCs w:val="19"/>
              </w:rPr>
              <w:t xml:space="preserve">UV Landau pole
Coupling → ∞ at m_Pl</w:t>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60"/>
            </w:tcMar>
          </w:tcPr>
          <w:p>
            <w:r>
              <w:rPr>
                <w:rFonts w:ascii="Arial" w:cs="Arial" w:eastAsia="Arial" w:hAnsi="Arial"/>
                <w:color w:val="1A2A3A"/>
                <w:sz w:val="19"/>
                <w:szCs w:val="19"/>
              </w:rPr>
              <w:t xml:space="preserve">IR Landau pole (Λ_QCD)
Coupling → ∞ at low energies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A3A"/>
                <w:sz w:val="19"/>
                <w:szCs w:val="19"/>
              </w:rPr>
              <w:t xml:space="preserve">α small at low energies ← 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2A3A"/>
                <w:sz w:val="19"/>
                <w:szCs w:val="19"/>
              </w:rPr>
              <w:t xml:space="preserve">α_s large at low energies ← confinement</w:t>
            </w:r>
          </w:p>
        </w:tc>
      </w:tr>
    </w:tbl>
    <w:p>
      <w:pPr>
        <w:spacing w:after="0" w:before="100"/>
      </w:pPr>
      <w:r>
        <w:t xml:space="preserve"/>
      </w:r>
    </w:p>
    <w:p>
      <w:pPr>
        <w:pBdr>
          <w:top w:val="single" w:color="1A7A30" w:sz="4" w:space="4"/>
          <w:bottom w:val="single" w:color="1A7A30" w:sz="4" w:space="4"/>
          <w:left w:val="single" w:color="1A7A30" w:sz="18" w:space="8"/>
        </w:pBdr>
        <w:shd w:fill="E8F8E8" w:val="clear"/>
        <w:spacing w:after="100" w:before="100"/>
        <w:ind w:left="400" w:right="400"/>
      </w:pPr>
      <w:r>
        <w:rPr>
          <w:rFonts w:ascii="Arial" w:cs="Arial" w:eastAsia="Arial" w:hAnsi="Arial"/>
          <w:color w:val="1A2A3A"/>
          <w:sz w:val="21"/>
          <w:szCs w:val="21"/>
        </w:rPr>
        <w:t xml:space="preserve">DST explains asymptotic freedom from a single geometric principle: non-Abelian displacement modes do not commute. This non-commutativity causes the displacement field to interact with itself — and that self-interaction subtracts from the beta function, flipping its sign, giving asymptotic freedom. Confinement (strong force growing at low energies) and asymptotic freedom (strong force weakening at high energies) are two sides of the same DST coin: the non-commutativity of color rotation.</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5.  The Hierarchy, Derived</w:t>
      </w:r>
    </w:p>
    <w:p>
      <w:pPr>
        <w:spacing w:after="120" w:before="0"/>
      </w:pPr>
      <w:r>
        <w:rPr>
          <w:rFonts w:ascii="Arial" w:cs="Arial" w:eastAsia="Arial" w:hAnsi="Arial"/>
          <w:sz w:val="22"/>
          <w:szCs w:val="22"/>
        </w:rPr>
        <w:t xml:space="preserve">Putting it all together: the coupling hierarchy α_G &lt;&lt; α &lt;&lt; α_W &lt; α_s is entirely determined by two geometric properties of the displacement manifolds:</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Compactness: </w:t>
      </w:r>
      <w:r>
        <w:rPr>
          <w:rFonts w:ascii="Arial" w:cs="Arial" w:eastAsia="Arial" w:hAnsi="Arial"/>
          <w:sz w:val="22"/>
          <w:szCs w:val="22"/>
        </w:rPr>
        <w:t xml:space="preserve">Non-compact (gravity) → exponential suppression. Compact (EM, weak, strong) → logarithmic suppression. This alone explains why gravity is so incomparably weaker than the other forces.</w:t>
      </w:r>
    </w:p>
    <w:p>
      <w:pPr>
        <w:pStyle w:val="ListParagraph"/>
        <w:numPr>
          <w:ilvl w:val="0"/>
          <w:numId w:val="2"/>
        </w:numPr>
        <w:spacing w:after="60" w:before="60"/>
      </w:pPr>
      <w:r>
        <w:rPr>
          <w:rFonts w:ascii="Arial" w:cs="Arial" w:eastAsia="Arial" w:hAnsi="Arial"/>
          <w:b/>
          <w:bCs/>
          <w:sz w:val="22"/>
          <w:szCs w:val="22"/>
        </w:rPr>
        <w:t xml:space="preserve">Commutativity: </w:t>
      </w:r>
      <w:r>
        <w:rPr>
          <w:rFonts w:ascii="Arial" w:cs="Arial" w:eastAsia="Arial" w:hAnsi="Arial"/>
          <w:sz w:val="22"/>
          <w:szCs w:val="22"/>
        </w:rPr>
        <w:t xml:space="preserve">Abelian (EM) → UV Landau pole, coupling small at low energies. Non-Abelian (strong, weak) → asymptotic freedom, coupling large at low energies. This explains why the strong force is stronger than EM at particle physics scales.</w:t>
      </w:r>
    </w:p>
    <w:p>
      <w:pPr>
        <w:spacing w:after="0" w:before="80"/>
      </w:pPr>
      <w:r>
        <w:t xml:space="preserve"/>
      </w:r>
    </w:p>
    <w:p>
      <w:pPr>
        <w:pBdr>
          <w:top w:val="single" w:color="1A3A5A" w:sz="4" w:space="4"/>
          <w:bottom w:val="single" w:color="1A3A5A" w:sz="4" w:space="4"/>
          <w:left w:val="single" w:color="1A3A5A" w:sz="18" w:space="8"/>
        </w:pBdr>
        <w:shd w:fill="EBF5FB" w:val="clear"/>
        <w:spacing w:after="100" w:before="100"/>
        <w:ind w:left="400" w:right="400"/>
      </w:pPr>
      <w:r>
        <w:rPr>
          <w:rFonts w:ascii="Arial" w:cs="Arial" w:eastAsia="Arial" w:hAnsi="Arial"/>
          <w:color w:val="1A2A3A"/>
          <w:sz w:val="21"/>
          <w:szCs w:val="21"/>
        </w:rPr>
        <w:t xml:space="preserve">The coupling hierarchy α_G ~ 10⁻⁴⁵ &lt;&lt; α ~ 10⁻³ &lt;&lt; α_W ~ 10⁻² &lt; α_s ~ 10⁻¹ is not arbitrary or fine-tuned. It is a consequence of four different displacement geometries. The number 10⁻⁴⁵ for gravity is not magic — it is exp(−2 × 51.5), where 51.5 = ln(m_Pl/m_e) is the logarithmic scale of the dilation manifold.</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6.  What Is Solid vs. What Needs Further Work</w:t>
      </w:r>
    </w:p>
    <w:p>
      <w:pPr>
        <w:pStyle w:val="Heading2"/>
        <w:spacing w:after="120" w:before="280"/>
      </w:pPr>
      <w:r>
        <w:rPr>
          <w:rFonts w:ascii="Arial" w:cs="Arial" w:eastAsia="Arial" w:hAnsi="Arial"/>
          <w:b/>
          <w:bCs/>
          <w:sz w:val="26"/>
          <w:szCs w:val="26"/>
        </w:rPr>
        <w:t xml:space="preserve">Solid</w:t>
      </w:r>
    </w:p>
    <w:p>
      <w:pPr>
        <w:pStyle w:val="ListParagraph"/>
        <w:numPr>
          <w:ilvl w:val="0"/>
          <w:numId w:val="2"/>
        </w:numPr>
        <w:spacing w:after="60" w:before="60"/>
      </w:pPr>
      <w:r>
        <w:rPr>
          <w:rFonts w:ascii="Arial" w:cs="Arial" w:eastAsia="Arial" w:hAnsi="Arial"/>
          <w:b/>
          <w:bCs/>
          <w:sz w:val="22"/>
          <w:szCs w:val="22"/>
        </w:rPr>
        <w:t xml:space="preserve">EM: </w:t>
      </w:r>
      <w:r>
        <w:rPr>
          <w:rFonts w:ascii="Arial" w:cs="Arial" w:eastAsia="Arial" w:hAnsi="Arial"/>
          <w:sz w:val="22"/>
          <w:szCs w:val="22"/>
        </w:rPr>
        <w:t xml:space="preserve">α = 3/(8 ln) — derived from DST axioms, topology, group theory. One-loop, 0.27% from observed.</w:t>
      </w:r>
    </w:p>
    <w:p>
      <w:pPr>
        <w:pStyle w:val="ListParagraph"/>
        <w:numPr>
          <w:ilvl w:val="0"/>
          <w:numId w:val="2"/>
        </w:numPr>
        <w:spacing w:after="60" w:before="60"/>
      </w:pPr>
      <w:r>
        <w:rPr>
          <w:rFonts w:ascii="Arial" w:cs="Arial" w:eastAsia="Arial" w:hAnsi="Arial"/>
          <w:b/>
          <w:bCs/>
          <w:sz w:val="22"/>
          <w:szCs w:val="22"/>
        </w:rPr>
        <w:t xml:space="preserve">Gravity: </w:t>
      </w:r>
      <w:r>
        <w:rPr>
          <w:rFonts w:ascii="Arial" w:cs="Arial" w:eastAsia="Arial" w:hAnsi="Arial"/>
          <w:sz w:val="22"/>
          <w:szCs w:val="22"/>
        </w:rPr>
        <w:t xml:space="preserve">α_G = exp(−3/(4α)) — exact algebraic consequence of EM formula. Non-compact manifold explanation of weakness is conceptually established.</w:t>
      </w:r>
    </w:p>
    <w:p>
      <w:pPr>
        <w:pStyle w:val="ListParagraph"/>
        <w:numPr>
          <w:ilvl w:val="0"/>
          <w:numId w:val="2"/>
        </w:numPr>
        <w:spacing w:after="60" w:before="60"/>
      </w:pPr>
      <w:r>
        <w:rPr>
          <w:rFonts w:ascii="Arial" w:cs="Arial" w:eastAsia="Arial" w:hAnsi="Arial"/>
          <w:b/>
          <w:bCs/>
          <w:sz w:val="22"/>
          <w:szCs w:val="22"/>
        </w:rPr>
        <w:t xml:space="preserve">Asymptotic freedom: </w:t>
      </w:r>
      <w:r>
        <w:rPr>
          <w:rFonts w:ascii="Arial" w:cs="Arial" w:eastAsia="Arial" w:hAnsi="Arial"/>
          <w:sz w:val="22"/>
          <w:szCs w:val="22"/>
        </w:rPr>
        <w:t xml:space="preserve">commutativity of displacement → sign of beta function. This is a qualitative structural prediction, not a numerical fit.</w:t>
      </w:r>
    </w:p>
    <w:p>
      <w:pPr>
        <w:pStyle w:val="ListParagraph"/>
        <w:numPr>
          <w:ilvl w:val="0"/>
          <w:numId w:val="2"/>
        </w:numPr>
        <w:spacing w:after="60" w:before="60"/>
      </w:pPr>
      <w:r>
        <w:rPr>
          <w:rFonts w:ascii="Arial" w:cs="Arial" w:eastAsia="Arial" w:hAnsi="Arial"/>
          <w:b/>
          <w:bCs/>
          <w:sz w:val="22"/>
          <w:szCs w:val="22"/>
        </w:rPr>
        <w:t xml:space="preserve">Coupling ordering: </w:t>
      </w:r>
      <w:r>
        <w:rPr>
          <w:rFonts w:ascii="Arial" w:cs="Arial" w:eastAsia="Arial" w:hAnsi="Arial"/>
          <w:sz w:val="22"/>
          <w:szCs w:val="22"/>
        </w:rPr>
        <w:t xml:space="preserve">gravity &lt;&lt; EM &lt;&lt; weak &lt; strong follows from manifold compactness and commutativity. No fine-tuning required.</w:t>
      </w:r>
    </w:p>
    <w:p>
      <w:pPr>
        <w:pStyle w:val="Heading2"/>
        <w:spacing w:after="120" w:before="280"/>
      </w:pPr>
      <w:r>
        <w:rPr>
          <w:rFonts w:ascii="Arial" w:cs="Arial" w:eastAsia="Arial" w:hAnsi="Arial"/>
          <w:b/>
          <w:bCs/>
          <w:sz w:val="26"/>
          <w:szCs w:val="26"/>
        </w:rPr>
        <w:t xml:space="preserve">Needs Further Work</w:t>
      </w:r>
    </w:p>
    <w:p>
      <w:pPr>
        <w:pStyle w:val="ListParagraph"/>
        <w:numPr>
          <w:ilvl w:val="0"/>
          <w:numId w:val="2"/>
        </w:numPr>
        <w:spacing w:after="60" w:before="60"/>
      </w:pPr>
      <w:r>
        <w:rPr>
          <w:rFonts w:ascii="Arial" w:cs="Arial" w:eastAsia="Arial" w:hAnsi="Arial"/>
          <w:b/>
          <w:bCs/>
          <w:sz w:val="22"/>
          <w:szCs w:val="22"/>
        </w:rPr>
        <w:t xml:space="preserve">Strong coupling: </w:t>
      </w:r>
      <w:r>
        <w:rPr>
          <w:rFonts w:ascii="Arial" w:cs="Arial" w:eastAsia="Arial" w:hAnsi="Arial"/>
          <w:sz w:val="22"/>
          <w:szCs w:val="22"/>
        </w:rPr>
        <w:t xml:space="preserve">α_s × ln ≈ 0.98 at Planck scale. The candidate geometric identity (≈ 4π/e = 4.62) needs derivation from SU(3) displacement geometry.</w:t>
      </w:r>
    </w:p>
    <w:p>
      <w:pPr>
        <w:pStyle w:val="ListParagraph"/>
        <w:numPr>
          <w:ilvl w:val="0"/>
          <w:numId w:val="2"/>
        </w:numPr>
        <w:spacing w:after="60" w:before="60"/>
      </w:pPr>
      <w:r>
        <w:rPr>
          <w:rFonts w:ascii="Arial" w:cs="Arial" w:eastAsia="Arial" w:hAnsi="Arial"/>
          <w:b/>
          <w:bCs/>
          <w:sz w:val="22"/>
          <w:szCs w:val="22"/>
        </w:rPr>
        <w:t xml:space="preserve">Weak coupling: </w:t>
      </w:r>
      <w:r>
        <w:rPr>
          <w:rFonts w:ascii="Arial" w:cs="Arial" w:eastAsia="Arial" w:hAnsi="Arial"/>
          <w:sz w:val="22"/>
          <w:szCs w:val="22"/>
        </w:rPr>
        <w:t xml:space="preserve">α_W × ln ≈ 1.29. The SU(2) displacement manifold (likely related to S³ or its quotients) needs identification and computation.</w:t>
      </w:r>
    </w:p>
    <w:p>
      <w:pPr>
        <w:pStyle w:val="ListParagraph"/>
        <w:numPr>
          <w:ilvl w:val="0"/>
          <w:numId w:val="2"/>
        </w:numPr>
        <w:spacing w:after="60" w:before="60"/>
      </w:pPr>
      <w:r>
        <w:rPr>
          <w:rFonts w:ascii="Arial" w:cs="Arial" w:eastAsia="Arial" w:hAnsi="Arial"/>
          <w:b/>
          <w:bCs/>
          <w:sz w:val="22"/>
          <w:szCs w:val="22"/>
        </w:rPr>
        <w:t xml:space="preserve">Number of generations: </w:t>
      </w:r>
      <w:r>
        <w:rPr>
          <w:rFonts w:ascii="Arial" w:cs="Arial" w:eastAsia="Arial" w:hAnsi="Arial"/>
          <w:sz w:val="22"/>
          <w:szCs w:val="22"/>
        </w:rPr>
        <w:t xml:space="preserve">Why 3 quark/lepton generations? DST does not yet address this.</w:t>
      </w:r>
    </w:p>
    <w:p>
      <w:pPr>
        <w:pStyle w:val="ListParagraph"/>
        <w:numPr>
          <w:ilvl w:val="0"/>
          <w:numId w:val="2"/>
        </w:numPr>
        <w:spacing w:after="60" w:before="60"/>
      </w:pPr>
      <w:r>
        <w:rPr>
          <w:rFonts w:ascii="Arial" w:cs="Arial" w:eastAsia="Arial" w:hAnsi="Arial"/>
          <w:b/>
          <w:bCs/>
          <w:sz w:val="22"/>
          <w:szCs w:val="22"/>
        </w:rPr>
        <w:t xml:space="preserve">Mass spectrum: </w:t>
      </w:r>
      <w:r>
        <w:rPr>
          <w:rFonts w:ascii="Arial" w:cs="Arial" w:eastAsia="Arial" w:hAnsi="Arial"/>
          <w:sz w:val="22"/>
          <w:szCs w:val="22"/>
        </w:rPr>
        <w:t xml:space="preserve">why m_e specifically? DST links m_e to m_Pl and α but does not derive the relationship from first principles yet.</w:t>
      </w:r>
    </w:p>
    <w:p>
      <w:pPr>
        <w:pStyle w:val="ListParagraph"/>
        <w:numPr>
          <w:ilvl w:val="0"/>
          <w:numId w:val="2"/>
        </w:numPr>
        <w:spacing w:after="60" w:before="60"/>
      </w:pPr>
      <w:r>
        <w:rPr>
          <w:rFonts w:ascii="Arial" w:cs="Arial" w:eastAsia="Arial" w:hAnsi="Arial"/>
          <w:b/>
          <w:bCs/>
          <w:sz w:val="22"/>
          <w:szCs w:val="22"/>
        </w:rPr>
        <w:t xml:space="preserve">Higgs mass: </w:t>
      </w:r>
      <w:r>
        <w:rPr>
          <w:rFonts w:ascii="Arial" w:cs="Arial" w:eastAsia="Arial" w:hAnsi="Arial"/>
          <w:sz w:val="22"/>
          <w:szCs w:val="22"/>
        </w:rPr>
        <w:t xml:space="preserve">the weak force condensate vev sets M_W ≈ 80 GeV. Whether DST predicts this from displacement geometry is open.</w:t>
      </w:r>
    </w:p>
    <w:p>
      <w:pPr>
        <w:pBdr>
          <w:bottom w:val="single" w:color="2E75B6" w:sz="6" w:space="1"/>
        </w:pBdr>
        <w:spacing w:after="180" w:before="180"/>
      </w:pPr>
      <w:r>
        <w:t xml:space="preserve"/>
      </w:r>
    </w:p>
    <w:p>
      <w:pPr>
        <w:spacing w:after="80" w:before="160"/>
        <w:jc w:val="center"/>
      </w:pPr>
      <w:r>
        <w:rPr>
          <w:rFonts w:ascii="Arial" w:cs="Arial" w:eastAsia="Arial" w:hAnsi="Arial"/>
          <w:b/>
          <w:bCs/>
          <w:color w:val="0A1E2E"/>
          <w:sz w:val="24"/>
          <w:szCs w:val="24"/>
        </w:rPr>
        <w:t xml:space="preserve">Four forces. Four displacement types. One framework.</w:t>
      </w:r>
    </w:p>
    <w:p>
      <w:pPr>
        <w:spacing w:after="0" w:before="0"/>
        <w:jc w:val="center"/>
      </w:pPr>
      <w:r>
        <w:rPr>
          <w:rFonts w:ascii="Arial" w:cs="Arial" w:eastAsia="Arial" w:hAnsi="Arial"/>
          <w:i/>
          <w:iCs/>
          <w:color w:val="778899"/>
          <w:sz w:val="20"/>
          <w:szCs w:val="20"/>
        </w:rPr>
        <w:t xml:space="preserve">The coupling hierarchy is geometry. Asymptotic freedom is commutativity. Confinement is the flip side of the same coin.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DST — Four-Force Survey  |  Baltimore, MD  |  March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E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2026-03-29T15:04:30.534Z</dcterms:created>
  <dcterms:modified xsi:type="dcterms:W3CDTF">2026-03-29T15:04:30.535Z</dcterms:modified>
</cp:coreProperties>
</file>

<file path=docProps/custom.xml><?xml version="1.0" encoding="utf-8"?>
<Properties xmlns="http://schemas.openxmlformats.org/officeDocument/2006/custom-properties" xmlns:vt="http://schemas.openxmlformats.org/officeDocument/2006/docPropsVTypes"/>
</file>