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400"/>
        <w:jc w:val="center"/>
        <w:rPr/>
      </w:pPr>
      <w:r>
        <w:rPr>
          <w:rFonts w:eastAsia="Arial" w:cs="Arial"/>
          <w:b/>
          <w:bCs/>
          <w:color w:val="1F3864"/>
          <w:sz w:val="56"/>
          <w:szCs w:val="56"/>
        </w:rPr>
        <w:t>DISPLACEMENT SPACETIME</w:t>
      </w:r>
    </w:p>
    <w:p>
      <w:pPr>
        <w:pStyle w:val="Normal"/>
        <w:spacing w:before="0" w:after="200"/>
        <w:jc w:val="center"/>
        <w:rPr/>
      </w:pPr>
      <w:r>
        <w:rPr>
          <w:rFonts w:eastAsia="Arial" w:cs="Arial"/>
          <w:i/>
          <w:iCs/>
          <w:color w:val="2E75B6"/>
          <w:sz w:val="32"/>
          <w:szCs w:val="32"/>
        </w:rPr>
        <w:t>A Companion Guide for Scientists Outside Physics</w:t>
      </w:r>
    </w:p>
    <w:p>
      <w:pPr>
        <w:pStyle w:val="Normal"/>
        <w:spacing w:before="0" w:after="80"/>
        <w:jc w:val="center"/>
        <w:rPr>
          <w:rFonts w:ascii="Arial" w:hAnsi="Arial" w:eastAsia="Arial" w:cs="Arial"/>
          <w:b/>
          <w:bCs/>
          <w:color w:val="1A1A2E"/>
          <w:sz w:val="24"/>
          <w:szCs w:val="24"/>
        </w:rPr>
      </w:pPr>
      <w:r>
        <w:rPr/>
      </w:r>
    </w:p>
    <w:p>
      <w:pPr>
        <w:pStyle w:val="Normal"/>
        <w:spacing w:before="0" w:after="120"/>
        <w:jc w:val="center"/>
        <w:rPr/>
      </w:pPr>
      <w:r>
        <w:rPr>
          <w:rFonts w:eastAsia="Arial" w:cs="Arial"/>
          <w:i/>
          <w:iCs/>
          <w:color w:val="595959"/>
          <w:sz w:val="22"/>
          <w:szCs w:val="22"/>
        </w:rPr>
        <w:t>This document is a plain-language companion to the full technical paper "Displacement Spacetime: A Geometric Derivation of Fundamental Physics." It is written for anyone with an undergraduate-level science or mathematics background who wants to understand what the framework claims, how it works, and why it matters — without needing a graduate degree in theoretical physics.</w:t>
      </w:r>
    </w:p>
    <w:p>
      <w:pPr>
        <w:pStyle w:val="Normal"/>
        <w:rPr/>
      </w:pPr>
      <w:r>
        <w:rPr/>
      </w:r>
      <w:r>
        <w:br w:type="page"/>
      </w:r>
    </w:p>
    <w:p>
      <w:pPr>
        <w:pStyle w:val="Heading1"/>
        <w:spacing w:before="0" w:after="200"/>
        <w:rPr/>
      </w:pPr>
      <w:r>
        <w:rPr>
          <w:rFonts w:eastAsia="Arial" w:cs="Arial" w:ascii="Arial" w:hAnsi="Arial"/>
          <w:b/>
          <w:bCs/>
          <w:color w:val="1F3864"/>
          <w:sz w:val="32"/>
          <w:szCs w:val="32"/>
        </w:rPr>
        <w:t>1. What This Paper Claims</w:t>
      </w:r>
    </w:p>
    <w:p>
      <w:pPr>
        <w:pStyle w:val="Normal"/>
        <w:spacing w:before="0" w:after="120"/>
        <w:jc w:val="both"/>
        <w:rPr/>
      </w:pPr>
      <w:r>
        <w:rPr>
          <w:rFonts w:eastAsia="Arial" w:cs="Arial"/>
          <w:b w:val="false"/>
          <w:bCs w:val="false"/>
          <w:i w:val="false"/>
          <w:iCs w:val="false"/>
          <w:color w:val="000000"/>
          <w:sz w:val="24"/>
          <w:szCs w:val="24"/>
        </w:rPr>
        <w:t>The Standard Model of particle physics is one of the most successful scientific theories ever constructed. It describes every known particle and three of the four fundamental forces (electromagnetic, weak nuclear, and strong nuclear). It has been confirmed by thousands of experiments over fifty years.</w:t>
      </w:r>
    </w:p>
    <w:p>
      <w:pPr>
        <w:pStyle w:val="Normal"/>
        <w:spacing w:before="0" w:after="120"/>
        <w:jc w:val="both"/>
        <w:rPr/>
      </w:pPr>
      <w:r>
        <w:rPr>
          <w:rFonts w:eastAsia="Arial" w:cs="Arial"/>
          <w:b w:val="false"/>
          <w:bCs w:val="false"/>
          <w:i w:val="false"/>
          <w:iCs w:val="false"/>
          <w:color w:val="000000"/>
          <w:sz w:val="24"/>
          <w:szCs w:val="24"/>
        </w:rPr>
        <w:t>But it has a problem: it requires 19 numbers that must be measured from experiments and plugged in by hand. These include the masses of particles, the strengths of forces, and the angles that describe how particles mix with each other. The Standard Model does not explain why these numbers have the values they do. It just says: measure them, then use them.</w:t>
      </w:r>
    </w:p>
    <w:p>
      <w:pPr>
        <w:pStyle w:val="Normal"/>
        <w:spacing w:before="0" w:after="120"/>
        <w:jc w:val="both"/>
        <w:rPr/>
      </w:pPr>
      <w:r>
        <w:rPr>
          <w:rFonts w:eastAsia="Arial" w:cs="Arial"/>
          <w:b w:val="false"/>
          <w:bCs w:val="false"/>
          <w:i w:val="false"/>
          <w:iCs w:val="false"/>
          <w:color w:val="000000"/>
          <w:sz w:val="24"/>
          <w:szCs w:val="24"/>
        </w:rPr>
        <w:t>The DST framework claims to derive most of these numbers from two geometric assumptions about the nature of spacetime. It does not fit parameters to match known values. It starts from axioms and arrives at predictions that can be checked against experiment. The accuracy ranges from exact (for integer quantities like the number of particle generations) to 0.002% (for the fine structure constant, the number that sets the strength of electromagnetism).</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E8F0FE" w:val="clear"/>
          </w:tcPr>
          <w:p>
            <w:pPr>
              <w:pStyle w:val="Normal"/>
              <w:spacing w:before="0" w:after="0"/>
              <w:rPr/>
            </w:pPr>
            <w:r>
              <w:rPr>
                <w:rFonts w:eastAsia="Arial" w:cs="Arial"/>
                <w:color w:val="1A1A2E"/>
                <w:sz w:val="24"/>
                <w:szCs w:val="24"/>
              </w:rPr>
              <w:t>The central claim: mass is radial displacement of spacetime, and charge is rotational displacement of spacetime. From these two statements, plus standard mathematics, the framework derives the coupling constants, particle generations, mass ratios, and force hierarchy of the Standard Model — with no free parameters.</w:t>
            </w:r>
          </w:p>
        </w:tc>
      </w:tr>
    </w:tbl>
    <w:p>
      <w:pPr>
        <w:pStyle w:val="Heading1"/>
        <w:spacing w:before="360" w:after="200"/>
        <w:rPr/>
      </w:pPr>
      <w:r>
        <w:rPr>
          <w:rFonts w:eastAsia="Arial" w:cs="Arial" w:ascii="Arial" w:hAnsi="Arial"/>
          <w:b/>
          <w:bCs/>
          <w:color w:val="1F3864"/>
          <w:sz w:val="32"/>
          <w:szCs w:val="32"/>
        </w:rPr>
        <w:t>2. The Starting Point: Moiré Patterns</w:t>
      </w:r>
    </w:p>
    <w:p>
      <w:pPr>
        <w:pStyle w:val="Normal"/>
        <w:spacing w:before="0" w:after="120"/>
        <w:jc w:val="both"/>
        <w:rPr/>
      </w:pPr>
      <w:r>
        <w:rPr>
          <w:rFonts w:eastAsia="Arial" w:cs="Arial"/>
          <w:b w:val="false"/>
          <w:bCs w:val="false"/>
          <w:i w:val="false"/>
          <w:iCs w:val="false"/>
          <w:color w:val="000000"/>
          <w:sz w:val="24"/>
          <w:szCs w:val="24"/>
        </w:rPr>
        <w:t>If you have ever looked through two overlapping window screens or chain-link fences, you have seen moiré patterns — large-scale ripples that are not present in either screen alone. They appear only in the overlap. The beat frequency of the pattern (how fast the ripples repeat) depends on the difference between the two screens' spacings.</w:t>
      </w:r>
    </w:p>
    <w:p>
      <w:pPr>
        <w:pStyle w:val="Normal"/>
        <w:spacing w:before="0" w:after="120"/>
        <w:jc w:val="both"/>
        <w:rPr/>
      </w:pPr>
      <w:r>
        <w:rPr>
          <w:rFonts w:eastAsia="Arial" w:cs="Arial"/>
          <w:b w:val="false"/>
          <w:bCs w:val="false"/>
          <w:i w:val="false"/>
          <w:iCs w:val="false"/>
          <w:color w:val="000000"/>
          <w:sz w:val="24"/>
          <w:szCs w:val="24"/>
        </w:rPr>
        <w:t>This is not just a visual curiosity. The DST framework begins with a mathematical proof that the moiré beat pattern is identical — not analogous, identical — to a specific measurement of a quantum system called the Wigner characteristic function. The Wigner function is the quantum version of a probability distribution over both position and momentum simultaneously. It is the most complete description of a quantum state that exists.</w:t>
      </w:r>
    </w:p>
    <w:p>
      <w:pPr>
        <w:pStyle w:val="Normal"/>
        <w:spacing w:before="0" w:after="120"/>
        <w:jc w:val="both"/>
        <w:rPr/>
      </w:pPr>
      <w:r>
        <w:rPr>
          <w:rFonts w:eastAsia="Arial" w:cs="Arial"/>
          <w:b w:val="false"/>
          <w:bCs w:val="false"/>
          <w:i w:val="false"/>
          <w:iCs w:val="false"/>
          <w:color w:val="000000"/>
          <w:sz w:val="24"/>
          <w:szCs w:val="24"/>
        </w:rPr>
        <w:t>The proof was verified numerically against five published quantum experiments (coherent light, squeezed light, single-photon Fock states, two-photon states, and Schrödinger cat states), matching to six decimal places in every case.</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E8F0FE" w:val="clear"/>
          </w:tcPr>
          <w:p>
            <w:pPr>
              <w:pStyle w:val="Normal"/>
              <w:spacing w:before="0" w:after="0"/>
              <w:rPr/>
            </w:pPr>
            <w:r>
              <w:rPr>
                <w:rFonts w:eastAsia="Arial" w:cs="Arial"/>
                <w:b/>
                <w:bCs/>
                <w:i w:val="false"/>
                <w:iCs w:val="false"/>
                <w:color w:val="1A1A2E"/>
                <w:sz w:val="24"/>
                <w:szCs w:val="24"/>
              </w:rPr>
              <w:t xml:space="preserve">The key identity: </w:t>
            </w:r>
            <w:r>
              <w:rPr>
                <w:rFonts w:eastAsia="Arial" w:cs="Arial"/>
                <w:b w:val="false"/>
                <w:bCs w:val="false"/>
                <w:i w:val="false"/>
                <w:iCs w:val="false"/>
                <w:color w:val="1A1A2E"/>
                <w:sz w:val="24"/>
                <w:szCs w:val="24"/>
              </w:rPr>
              <w:t>the intensity of the moiré beat pattern is proportional to the real part of the Wigner characteristic function. Two screens sampling quantum phase space through their interference is not a metaphor. It is an exact mathematical identity.</w:t>
            </w:r>
          </w:p>
        </w:tc>
      </w:tr>
    </w:tbl>
    <w:p>
      <w:pPr>
        <w:pStyle w:val="Normal"/>
        <w:spacing w:before="0" w:after="120"/>
        <w:jc w:val="both"/>
        <w:rPr/>
      </w:pPr>
      <w:r>
        <w:rPr>
          <w:rFonts w:eastAsia="Arial" w:cs="Arial"/>
          <w:b w:val="false"/>
          <w:bCs w:val="false"/>
          <w:i w:val="false"/>
          <w:iCs w:val="false"/>
          <w:color w:val="000000"/>
          <w:sz w:val="24"/>
          <w:szCs w:val="24"/>
        </w:rPr>
        <w:t>Once this identity is established, the natural question is: if physical screens do this, what happens when the two ‘screens’ are the two types of spacetime displacement — radial and rotational?</w:t>
      </w:r>
    </w:p>
    <w:p>
      <w:pPr>
        <w:pStyle w:val="Heading1"/>
        <w:spacing w:before="360" w:after="200"/>
        <w:rPr/>
      </w:pPr>
      <w:r>
        <w:rPr>
          <w:rFonts w:eastAsia="Arial" w:cs="Arial" w:ascii="Arial" w:hAnsi="Arial"/>
          <w:b/>
          <w:bCs/>
          <w:color w:val="1F3864"/>
          <w:sz w:val="32"/>
          <w:szCs w:val="32"/>
        </w:rPr>
        <w:t>3. The Two Axioms: What Spacetime Displacement Means</w:t>
      </w:r>
    </w:p>
    <w:p>
      <w:pPr>
        <w:pStyle w:val="Normal"/>
        <w:spacing w:before="0" w:after="120"/>
        <w:jc w:val="both"/>
        <w:rPr/>
      </w:pPr>
      <w:r>
        <w:rPr>
          <w:rFonts w:eastAsia="Arial" w:cs="Arial"/>
          <w:b w:val="false"/>
          <w:bCs w:val="false"/>
          <w:i w:val="false"/>
          <w:iCs w:val="false"/>
          <w:color w:val="000000"/>
          <w:sz w:val="24"/>
          <w:szCs w:val="24"/>
        </w:rPr>
        <w:t>The entire framework rests on two axioms:</w:t>
      </w:r>
    </w:p>
    <w:p>
      <w:pPr>
        <w:pStyle w:val="Normal"/>
        <w:spacing w:before="0" w:after="120"/>
        <w:jc w:val="both"/>
        <w:rPr/>
      </w:pPr>
      <w:r>
        <w:rPr>
          <w:rFonts w:eastAsia="Arial" w:cs="Arial"/>
          <w:b/>
          <w:bCs/>
          <w:i w:val="false"/>
          <w:iCs w:val="false"/>
          <w:color w:val="000000"/>
          <w:sz w:val="24"/>
          <w:szCs w:val="24"/>
        </w:rPr>
        <w:t xml:space="preserve">Axiom 1: </w:t>
      </w:r>
      <w:r>
        <w:rPr>
          <w:rFonts w:eastAsia="Arial" w:cs="Arial"/>
          <w:b w:val="false"/>
          <w:bCs w:val="false"/>
          <w:i w:val="false"/>
          <w:iCs w:val="false"/>
          <w:color w:val="000000"/>
          <w:sz w:val="24"/>
          <w:szCs w:val="24"/>
        </w:rPr>
        <w:t>Mass is radial displacement of spacetime. A massive object pushes spacetime outward from itself in all directions, like a ball pressed into a rubber sheet — but in three spatial dimensions, not two.</w:t>
      </w:r>
    </w:p>
    <w:p>
      <w:pPr>
        <w:pStyle w:val="Normal"/>
        <w:spacing w:before="0" w:after="120"/>
        <w:jc w:val="both"/>
        <w:rPr/>
      </w:pPr>
      <w:r>
        <w:rPr>
          <w:rFonts w:eastAsia="Arial" w:cs="Arial"/>
          <w:b/>
          <w:bCs/>
          <w:i w:val="false"/>
          <w:iCs w:val="false"/>
          <w:color w:val="000000"/>
          <w:sz w:val="24"/>
          <w:szCs w:val="24"/>
        </w:rPr>
        <w:t xml:space="preserve">Axiom 2: </w:t>
      </w:r>
      <w:r>
        <w:rPr>
          <w:rFonts w:eastAsia="Arial" w:cs="Arial"/>
          <w:b w:val="false"/>
          <w:bCs w:val="false"/>
          <w:i w:val="false"/>
          <w:iCs w:val="false"/>
          <w:color w:val="000000"/>
          <w:sz w:val="24"/>
          <w:szCs w:val="24"/>
        </w:rPr>
        <w:t>Charge is rotational displacement of spacetime. A charged object twists spacetime around itself. The twist has no preferred axis — it is equally strong in all directions. This isotropy (no preferred direction) turns out to be extremely important.</w:t>
      </w:r>
    </w:p>
    <w:p>
      <w:pPr>
        <w:pStyle w:val="Normal"/>
        <w:spacing w:before="0" w:after="120"/>
        <w:jc w:val="both"/>
        <w:rPr/>
      </w:pPr>
      <w:r>
        <w:rPr>
          <w:rFonts w:eastAsia="Arial" w:cs="Arial"/>
          <w:b w:val="false"/>
          <w:bCs w:val="false"/>
          <w:i w:val="false"/>
          <w:iCs w:val="false"/>
          <w:color w:val="000000"/>
          <w:sz w:val="24"/>
          <w:szCs w:val="24"/>
        </w:rPr>
        <w:t>These are not derived from existing physics. They are the starting assumptions. Everything else — coupling constants, particle properties, force strengths — is derived from them using standard mathematical techniques (group theory, topology, quantum field theory).</w:t>
      </w:r>
    </w:p>
    <w:p>
      <w:pPr>
        <w:pStyle w:val="Normal"/>
        <w:spacing w:before="0" w:after="120"/>
        <w:jc w:val="both"/>
        <w:rPr/>
      </w:pPr>
      <w:r>
        <w:rPr>
          <w:rFonts w:eastAsia="Arial" w:cs="Arial"/>
          <w:b w:val="false"/>
          <w:bCs w:val="false"/>
          <w:i w:val="false"/>
          <w:iCs w:val="false"/>
          <w:color w:val="000000"/>
          <w:sz w:val="24"/>
          <w:szCs w:val="24"/>
        </w:rPr>
        <w:t>The axioms define two fields: a real scalar field φ_r for radial displacement (gravity/mass), and a complex scalar field Φ_θ for rotational displacement (electromagnetism/charge). The Lagrangian — the master equation that encodes all the dynamics — is the simplest possible expression involving both fields and their interactions.</w:t>
      </w:r>
    </w:p>
    <w:p>
      <w:pPr>
        <w:pStyle w:val="Heading1"/>
        <w:spacing w:before="360" w:after="200"/>
        <w:rPr/>
      </w:pPr>
      <w:r>
        <w:rPr>
          <w:rFonts w:eastAsia="Arial" w:cs="Arial" w:ascii="Arial" w:hAnsi="Arial"/>
          <w:b/>
          <w:bCs/>
          <w:color w:val="1F3864"/>
          <w:sz w:val="32"/>
          <w:szCs w:val="32"/>
        </w:rPr>
        <w:t>4. The Fine Structure Constant: The Central Result</w:t>
      </w:r>
    </w:p>
    <w:p>
      <w:pPr>
        <w:pStyle w:val="Normal"/>
        <w:spacing w:before="0" w:after="120"/>
        <w:jc w:val="both"/>
        <w:rPr/>
      </w:pPr>
      <w:r>
        <w:rPr>
          <w:rFonts w:eastAsia="Arial" w:cs="Arial"/>
          <w:b w:val="false"/>
          <w:bCs w:val="false"/>
          <w:i w:val="false"/>
          <w:iCs w:val="false"/>
          <w:color w:val="000000"/>
          <w:sz w:val="24"/>
          <w:szCs w:val="24"/>
        </w:rPr>
        <w:t>The fine structure constant, written α (alpha), is approximately 1/137. It determines the strength of the electromagnetic force. It controls how strongly light interacts with matter, the size of atoms, the energy levels of electrons, and essentially all of chemistry. Richard Feynman called it “one of the greatest damn mysteries of physics.” No one has ever derived its value from first principles.</w:t>
      </w:r>
    </w:p>
    <w:p>
      <w:pPr>
        <w:pStyle w:val="Normal"/>
        <w:spacing w:before="0" w:after="120"/>
        <w:jc w:val="both"/>
        <w:rPr/>
      </w:pPr>
      <w:r>
        <w:rPr>
          <w:rFonts w:eastAsia="Arial" w:cs="Arial"/>
          <w:b w:val="false"/>
          <w:bCs w:val="false"/>
          <w:i w:val="false"/>
          <w:iCs w:val="false"/>
          <w:color w:val="000000"/>
          <w:sz w:val="24"/>
          <w:szCs w:val="24"/>
        </w:rPr>
        <w:t>The DST derivation proceeds in four steps:</w:t>
      </w:r>
    </w:p>
    <w:p>
      <w:pPr>
        <w:pStyle w:val="Normal"/>
        <w:spacing w:before="0" w:after="120"/>
        <w:jc w:val="both"/>
        <w:rPr/>
      </w:pPr>
      <w:r>
        <w:rPr>
          <w:rFonts w:eastAsia="Arial" w:cs="Arial"/>
          <w:b/>
          <w:bCs/>
          <w:i w:val="false"/>
          <w:iCs w:val="false"/>
          <w:color w:val="000000"/>
          <w:sz w:val="24"/>
          <w:szCs w:val="24"/>
        </w:rPr>
        <w:t xml:space="preserve">Step 1 — The rotation manifold. </w:t>
      </w:r>
      <w:r>
        <w:rPr>
          <w:rFonts w:eastAsia="Arial" w:cs="Arial"/>
          <w:b w:val="false"/>
          <w:bCs w:val="false"/>
          <w:i w:val="false"/>
          <w:iCs w:val="false"/>
          <w:color w:val="000000"/>
          <w:sz w:val="24"/>
          <w:szCs w:val="24"/>
        </w:rPr>
        <w:t>Since charge is rotational displacement with no preferred axis (Axiom 2), the set of all possible rotation axes is the surface of a sphere (called S² in mathematics). The total solid angle of a sphere is 4π steradians — the same 4π that appears in Gauss's law and Coulomb's law. This is not a coincidence; it is the geometric origin of that factor.</w:t>
      </w:r>
    </w:p>
    <w:p>
      <w:pPr>
        <w:pStyle w:val="Normal"/>
        <w:spacing w:before="0" w:after="120"/>
        <w:jc w:val="both"/>
        <w:rPr/>
      </w:pPr>
      <w:r>
        <w:rPr>
          <w:rFonts w:eastAsia="Arial" w:cs="Arial"/>
          <w:b/>
          <w:bCs/>
          <w:i w:val="false"/>
          <w:iCs w:val="false"/>
          <w:color w:val="000000"/>
          <w:sz w:val="24"/>
          <w:szCs w:val="24"/>
        </w:rPr>
        <w:t xml:space="preserve">Step 2 — The vacuum polarization integral. </w:t>
      </w:r>
      <w:r>
        <w:rPr>
          <w:rFonts w:eastAsia="Arial" w:cs="Arial"/>
          <w:b w:val="false"/>
          <w:bCs w:val="false"/>
          <w:i w:val="false"/>
          <w:iCs w:val="false"/>
          <w:color w:val="000000"/>
          <w:sz w:val="24"/>
          <w:szCs w:val="24"/>
        </w:rPr>
        <w:t>In quantum field theory, the strength of a force depends on how virtual particle-antiparticle pairs screen the charge. For electromagnetism, each type of charged particle contributes a factor of 4/3 to this screening (for spin-1/2 particles; the derivation of why matter must be spin-1/2 is given in the full paper). The total screening is the integral over all rotation axes times this factor: 4π × 4/3 = 16π/3.</w:t>
      </w:r>
    </w:p>
    <w:p>
      <w:pPr>
        <w:pStyle w:val="Normal"/>
        <w:spacing w:before="0" w:after="120"/>
        <w:jc w:val="both"/>
        <w:rPr/>
      </w:pPr>
      <w:r>
        <w:rPr>
          <w:rFonts w:eastAsia="Arial" w:cs="Arial"/>
          <w:b/>
          <w:bCs/>
          <w:i w:val="false"/>
          <w:iCs w:val="false"/>
          <w:color w:val="000000"/>
          <w:sz w:val="24"/>
          <w:szCs w:val="24"/>
        </w:rPr>
        <w:t xml:space="preserve">Step 3 — The Planck scale boundary condition. </w:t>
      </w:r>
      <w:r>
        <w:rPr>
          <w:rFonts w:eastAsia="Arial" w:cs="Arial"/>
          <w:b w:val="false"/>
          <w:bCs w:val="false"/>
          <w:i w:val="false"/>
          <w:iCs w:val="false"/>
          <w:color w:val="000000"/>
          <w:sz w:val="24"/>
          <w:szCs w:val="24"/>
        </w:rPr>
        <w:t>DST assumes that electromagnetism and gravity unify at the Planck scale — the energy scale where quantum gravity effects become important (about 10¹⁹ GeV, or roughly 10⁻⁵ grams). This is not a radical assumption; most unified theories share it. It means the electromagnetic coupling becomes infinitely strong at that scale (a ‘Landau pole’).</w:t>
      </w:r>
    </w:p>
    <w:p>
      <w:pPr>
        <w:pStyle w:val="Normal"/>
        <w:spacing w:before="0" w:after="120"/>
        <w:jc w:val="both"/>
        <w:rPr/>
      </w:pPr>
      <w:r>
        <w:rPr>
          <w:rFonts w:eastAsia="Arial" w:cs="Arial"/>
          <w:b/>
          <w:bCs/>
          <w:i w:val="false"/>
          <w:iCs w:val="false"/>
          <w:color w:val="000000"/>
          <w:sz w:val="24"/>
          <w:szCs w:val="24"/>
        </w:rPr>
        <w:t xml:space="preserve">Step 4 — The formula. </w:t>
      </w:r>
      <w:r>
        <w:rPr>
          <w:rFonts w:eastAsia="Arial" w:cs="Arial"/>
          <w:b w:val="false"/>
          <w:bCs w:val="false"/>
          <w:i w:val="false"/>
          <w:iCs w:val="false"/>
          <w:color w:val="000000"/>
          <w:sz w:val="24"/>
          <w:szCs w:val="24"/>
        </w:rPr>
        <w:t>Combining the geometric factor from Step 2 with the running of the coupling from Step 3 gives:</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FFF8E1" w:val="clear"/>
          </w:tcPr>
          <w:p>
            <w:pPr>
              <w:pStyle w:val="Normal"/>
              <w:spacing w:before="0" w:after="0"/>
              <w:rPr/>
            </w:pPr>
            <w:r>
              <w:rPr>
                <w:rFonts w:eastAsia="Arial" w:cs="Arial"/>
                <w:b/>
                <w:bCs/>
                <w:i w:val="false"/>
                <w:iCs w:val="false"/>
                <w:color w:val="1A1A2E"/>
                <w:sz w:val="28"/>
                <w:szCs w:val="28"/>
              </w:rPr>
              <w:t>α = 3 / (8 × ln(m_Pl / m_e))</w:t>
            </w:r>
          </w:p>
        </w:tc>
      </w:tr>
    </w:tbl>
    <w:p>
      <w:pPr>
        <w:pStyle w:val="Normal"/>
        <w:spacing w:before="0" w:after="120"/>
        <w:jc w:val="both"/>
        <w:rPr/>
      </w:pPr>
      <w:r>
        <w:rPr>
          <w:rFonts w:eastAsia="Arial" w:cs="Arial"/>
          <w:b w:val="false"/>
          <w:bCs w:val="false"/>
          <w:i w:val="false"/>
          <w:iCs w:val="false"/>
          <w:color w:val="000000"/>
          <w:sz w:val="24"/>
          <w:szCs w:val="24"/>
        </w:rPr>
        <w:t>Here m_Pl is the Planck mass and m_e is the electron mass. The ratio m_Pl/m_e is about 2.4 × 10²², and its natural logarithm is about 51.5. The coefficient 3/8 comes from the algebra: 2π / (16π/3) = 6π / 16π = 3/8.</w:t>
      </w:r>
    </w:p>
    <w:p>
      <w:pPr>
        <w:pStyle w:val="Normal"/>
        <w:spacing w:before="0" w:after="120"/>
        <w:jc w:val="both"/>
        <w:rPr/>
      </w:pPr>
      <w:r>
        <w:rPr>
          <w:rFonts w:eastAsia="Arial" w:cs="Arial"/>
          <w:b w:val="false"/>
          <w:bCs w:val="false"/>
          <w:i w:val="false"/>
          <w:iCs w:val="false"/>
          <w:color w:val="000000"/>
          <w:sz w:val="24"/>
          <w:szCs w:val="24"/>
        </w:rPr>
        <w:t>This gives α ≈ 1/137.41, which is 0.27% away from the measured value of 1/137.036. The 0.27% gap is not random — it appears consistently in every calculation in the framework, and it has a specific origin (explained in Section 9).</w:t>
      </w:r>
    </w:p>
    <w:p>
      <w:pPr>
        <w:pStyle w:val="Normal"/>
        <w:spacing w:before="0" w:after="120"/>
        <w:jc w:val="both"/>
        <w:rPr/>
      </w:pPr>
      <w:r>
        <w:rPr>
          <w:rFonts w:eastAsia="Arial" w:cs="Arial"/>
          <w:b/>
          <w:bCs/>
          <w:i w:val="false"/>
          <w:iCs w:val="false"/>
          <w:color w:val="000000"/>
          <w:sz w:val="24"/>
          <w:szCs w:val="24"/>
        </w:rPr>
        <w:t xml:space="preserve">Why this matters: </w:t>
      </w:r>
      <w:r>
        <w:rPr>
          <w:rFonts w:eastAsia="Arial" w:cs="Arial"/>
          <w:b w:val="false"/>
          <w:bCs w:val="false"/>
          <w:i w:val="false"/>
          <w:iCs w:val="false"/>
          <w:color w:val="000000"/>
          <w:sz w:val="24"/>
          <w:szCs w:val="24"/>
        </w:rPr>
        <w:t>the number 3/8 was not adjusted to match the known value of α. It fell out of a geometric integral over a sphere. A critic who wants to dismiss this must explain what, exactly, was fitted — because nothing was.</w:t>
      </w:r>
    </w:p>
    <w:p>
      <w:pPr>
        <w:pStyle w:val="Heading1"/>
        <w:spacing w:before="360" w:after="200"/>
        <w:rPr/>
      </w:pPr>
      <w:r>
        <w:rPr>
          <w:rFonts w:eastAsia="Arial" w:cs="Arial" w:ascii="Arial" w:hAnsi="Arial"/>
          <w:b/>
          <w:bCs/>
          <w:color w:val="1F3864"/>
          <w:sz w:val="32"/>
          <w:szCs w:val="32"/>
        </w:rPr>
        <w:t>5. Why All Matter Is Spin-1/2</w:t>
      </w:r>
    </w:p>
    <w:p>
      <w:pPr>
        <w:pStyle w:val="Normal"/>
        <w:spacing w:before="0" w:after="120"/>
        <w:jc w:val="both"/>
        <w:rPr/>
      </w:pPr>
      <w:r>
        <w:rPr>
          <w:rFonts w:eastAsia="Arial" w:cs="Arial"/>
          <w:b w:val="false"/>
          <w:bCs w:val="false"/>
          <w:i w:val="false"/>
          <w:iCs w:val="false"/>
          <w:color w:val="000000"/>
          <w:sz w:val="24"/>
          <w:szCs w:val="24"/>
        </w:rPr>
        <w:t>Every fundamental particle of matter (electrons, quarks, neutrinos) has spin-1/2. The Standard Model records this as an empirical fact. DST derives it as a theorem from three independent arguments that all converge on the same answer:</w:t>
      </w:r>
    </w:p>
    <w:p>
      <w:pPr>
        <w:pStyle w:val="Normal"/>
        <w:spacing w:before="0" w:after="120"/>
        <w:jc w:val="both"/>
        <w:rPr/>
      </w:pPr>
      <w:r>
        <w:rPr>
          <w:rFonts w:eastAsia="Arial" w:cs="Arial"/>
          <w:b/>
          <w:bCs/>
          <w:i w:val="false"/>
          <w:iCs w:val="false"/>
          <w:color w:val="000000"/>
          <w:sz w:val="24"/>
          <w:szCs w:val="24"/>
        </w:rPr>
        <w:t xml:space="preserve">Argument 1 — Topology. </w:t>
      </w:r>
      <w:r>
        <w:rPr>
          <w:rFonts w:eastAsia="Arial" w:cs="Arial"/>
          <w:b w:val="false"/>
          <w:bCs w:val="false"/>
          <w:i w:val="false"/>
          <w:iCs w:val="false"/>
          <w:color w:val="000000"/>
          <w:sz w:val="24"/>
          <w:szCs w:val="24"/>
        </w:rPr>
        <w:t>The rotation group SO(3) has a topological property: if you rotate an object 360°, you do not get back to where you started — there is a subtle twist. You need a 720° rotation to return to the original state. (This is the famous Dirac belt trick.) Only half-integer spin particles are sensitive to this twist. Integer-spin particles do not feel the rotational displacement at all.</w:t>
      </w:r>
    </w:p>
    <w:p>
      <w:pPr>
        <w:pStyle w:val="Normal"/>
        <w:spacing w:before="0" w:after="120"/>
        <w:jc w:val="both"/>
        <w:rPr/>
      </w:pPr>
      <w:r>
        <w:rPr>
          <w:rFonts w:eastAsia="Arial" w:cs="Arial"/>
          <w:b/>
          <w:bCs/>
          <w:i w:val="false"/>
          <w:iCs w:val="false"/>
          <w:color w:val="000000"/>
          <w:sz w:val="24"/>
          <w:szCs w:val="24"/>
        </w:rPr>
        <w:t xml:space="preserve">Argument 2 — Minimality. </w:t>
      </w:r>
      <w:r>
        <w:rPr>
          <w:rFonts w:eastAsia="Arial" w:cs="Arial"/>
          <w:b w:val="false"/>
          <w:bCs w:val="false"/>
          <w:i w:val="false"/>
          <w:iCs w:val="false"/>
          <w:color w:val="000000"/>
          <w:sz w:val="24"/>
          <w:szCs w:val="24"/>
        </w:rPr>
        <w:t>Among the half-integer spin representations, spin-1/2 is the unique smallest one. All higher half-integer spins (3/2, 5/2, ...) are composites built from spin-1/2. If nature uses the simplest building block, it must be spin-1/2.</w:t>
      </w:r>
    </w:p>
    <w:p>
      <w:pPr>
        <w:pStyle w:val="Normal"/>
        <w:spacing w:before="0" w:after="120"/>
        <w:jc w:val="both"/>
        <w:rPr/>
      </w:pPr>
      <w:r>
        <w:rPr>
          <w:rFonts w:eastAsia="Arial" w:cs="Arial"/>
          <w:b/>
          <w:bCs/>
          <w:i w:val="false"/>
          <w:iCs w:val="false"/>
          <w:color w:val="000000"/>
          <w:sz w:val="24"/>
          <w:szCs w:val="24"/>
        </w:rPr>
        <w:t xml:space="preserve">Argument 3 — Parity. </w:t>
      </w:r>
      <w:r>
        <w:rPr>
          <w:rFonts w:eastAsia="Arial" w:cs="Arial"/>
          <w:b w:val="false"/>
          <w:bCs w:val="false"/>
          <w:i w:val="false"/>
          <w:iCs w:val="false"/>
          <w:color w:val="000000"/>
          <w:sz w:val="24"/>
          <w:szCs w:val="24"/>
        </w:rPr>
        <w:t>The isotropy axiom (no preferred rotation axis) requires that the physics looks the same under mirror reflection (parity). The only spin-1/2 object that respects parity is the Dirac spinor — a left-handed and right-handed component combined. This is exactly what the electron is.</w:t>
      </w:r>
    </w:p>
    <w:p>
      <w:pPr>
        <w:pStyle w:val="Normal"/>
        <w:spacing w:before="0" w:after="120"/>
        <w:jc w:val="both"/>
        <w:rPr/>
      </w:pPr>
      <w:r>
        <w:rPr>
          <w:rFonts w:eastAsia="Arial" w:cs="Arial"/>
          <w:b w:val="false"/>
          <w:bCs w:val="false"/>
          <w:i w:val="false"/>
          <w:iCs w:val="false"/>
          <w:color w:val="000000"/>
          <w:sz w:val="24"/>
          <w:szCs w:val="24"/>
        </w:rPr>
        <w:t>All three arguments independently select spin-1/2. No other spin passes all three tests.</w:t>
      </w:r>
    </w:p>
    <w:p>
      <w:pPr>
        <w:pStyle w:val="Heading1"/>
        <w:spacing w:before="360" w:after="200"/>
        <w:rPr/>
      </w:pPr>
      <w:r>
        <w:rPr>
          <w:rFonts w:eastAsia="Arial" w:cs="Arial" w:ascii="Arial" w:hAnsi="Arial"/>
          <w:b/>
          <w:bCs/>
          <w:color w:val="1F3864"/>
          <w:sz w:val="32"/>
          <w:szCs w:val="32"/>
        </w:rPr>
        <w:t>6. Why Gravity Is So Incredibly Weak</w:t>
      </w:r>
    </w:p>
    <w:p>
      <w:pPr>
        <w:pStyle w:val="Normal"/>
        <w:spacing w:before="0" w:after="120"/>
        <w:jc w:val="both"/>
        <w:rPr/>
      </w:pPr>
      <w:r>
        <w:rPr>
          <w:rFonts w:eastAsia="Arial" w:cs="Arial"/>
          <w:b w:val="false"/>
          <w:bCs w:val="false"/>
          <w:i w:val="false"/>
          <w:iCs w:val="false"/>
          <w:color w:val="000000"/>
          <w:sz w:val="24"/>
          <w:szCs w:val="24"/>
        </w:rPr>
        <w:t>One of the biggest unsolved problems in physics is the hierarchy problem: why is gravity roughly 10⁴⁵ times weaker than electromagnetism? The Standard Model has no answer. DST does.</w:t>
      </w:r>
    </w:p>
    <w:p>
      <w:pPr>
        <w:pStyle w:val="Normal"/>
        <w:spacing w:before="0" w:after="120"/>
        <w:jc w:val="both"/>
        <w:rPr/>
      </w:pPr>
      <w:r>
        <w:rPr>
          <w:rFonts w:eastAsia="Arial" w:cs="Arial"/>
          <w:b w:val="false"/>
          <w:bCs w:val="false"/>
          <w:i w:val="false"/>
          <w:iCs w:val="false"/>
          <w:color w:val="000000"/>
          <w:sz w:val="24"/>
          <w:szCs w:val="24"/>
        </w:rPr>
        <w:t>Once you have the formula for α, the gravitational coupling α_G follows algebraically:</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FFF8E1" w:val="clear"/>
          </w:tcPr>
          <w:p>
            <w:pPr>
              <w:pStyle w:val="Normal"/>
              <w:spacing w:before="0" w:after="0"/>
              <w:rPr/>
            </w:pPr>
            <w:r>
              <w:rPr>
                <w:rFonts w:eastAsia="Arial" w:cs="Arial"/>
                <w:b/>
                <w:bCs/>
                <w:i w:val="false"/>
                <w:iCs w:val="false"/>
                <w:color w:val="1A1A2E"/>
                <w:sz w:val="28"/>
                <w:szCs w:val="28"/>
              </w:rPr>
              <w:t>α_G = exp(−3 / (4α)) ≈ exp(−102.8) ≈ 10⁻⁴⁵</w:t>
            </w:r>
          </w:p>
        </w:tc>
      </w:tr>
    </w:tbl>
    <w:p>
      <w:pPr>
        <w:pStyle w:val="Normal"/>
        <w:spacing w:before="0" w:after="120"/>
        <w:jc w:val="both"/>
        <w:rPr/>
      </w:pPr>
      <w:r>
        <w:rPr>
          <w:rFonts w:eastAsia="Arial" w:cs="Arial"/>
          <w:b w:val="false"/>
          <w:bCs w:val="false"/>
          <w:i w:val="false"/>
          <w:iCs w:val="false"/>
          <w:color w:val="000000"/>
          <w:sz w:val="24"/>
          <w:szCs w:val="24"/>
        </w:rPr>
        <w:t>This is an exponential of an exponential. The electromagnetic coupling is logarithmically small (about 1/137). The gravitational coupling is the exponential of that small number, which makes it astronomically small. If α were 1 (as it would be at the unification scale), then α_G would be about 0.47 — not weak at all.</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E8F0FE" w:val="clear"/>
          </w:tcPr>
          <w:p>
            <w:pPr>
              <w:pStyle w:val="Normal"/>
              <w:spacing w:before="0" w:after="0"/>
              <w:rPr/>
            </w:pPr>
            <w:r>
              <w:rPr>
                <w:rFonts w:eastAsia="Arial" w:cs="Arial"/>
                <w:color w:val="1A1A2E"/>
                <w:sz w:val="24"/>
                <w:szCs w:val="24"/>
              </w:rPr>
              <w:t>Gravity is weak because electromagnetism is moderately weak. The extraordinary feebleness of gravity is a double exponential consequence of the logarithmic running of the electromagnetic coupling from the Planck scale. This is the DST answer to the hierarchy problem.</w:t>
            </w:r>
          </w:p>
        </w:tc>
      </w:tr>
    </w:tbl>
    <w:p>
      <w:pPr>
        <w:pStyle w:val="Heading1"/>
        <w:spacing w:before="360" w:after="200"/>
        <w:rPr/>
      </w:pPr>
      <w:r>
        <w:rPr>
          <w:rFonts w:eastAsia="Arial" w:cs="Arial" w:ascii="Arial" w:hAnsi="Arial"/>
          <w:b/>
          <w:bCs/>
          <w:color w:val="1F3864"/>
          <w:sz w:val="32"/>
          <w:szCs w:val="32"/>
        </w:rPr>
        <w:t>7. The Four Forces and Their Hierarchy</w:t>
      </w:r>
    </w:p>
    <w:p>
      <w:pPr>
        <w:pStyle w:val="Normal"/>
        <w:spacing w:before="0" w:after="120"/>
        <w:jc w:val="both"/>
        <w:rPr/>
      </w:pPr>
      <w:r>
        <w:rPr>
          <w:rFonts w:eastAsia="Arial" w:cs="Arial"/>
          <w:b w:val="false"/>
          <w:bCs w:val="false"/>
          <w:i w:val="false"/>
          <w:iCs w:val="false"/>
          <w:color w:val="000000"/>
          <w:sz w:val="24"/>
          <w:szCs w:val="24"/>
        </w:rPr>
        <w:t>The four forces (gravity, electromagnetism, weak nuclear, strong nuclear) span an enormous range of strengths: from gravity at 10⁻⁴⁵ to the strong force at roughly 1. DST explains the entire hierarchy from two geometric properties of the displacement manifolds:</w:t>
      </w:r>
    </w:p>
    <w:p>
      <w:pPr>
        <w:pStyle w:val="Normal"/>
        <w:spacing w:before="0" w:after="120"/>
        <w:jc w:val="both"/>
        <w:rPr/>
      </w:pPr>
      <w:r>
        <w:rPr>
          <w:rFonts w:eastAsia="Arial" w:cs="Arial"/>
          <w:b/>
          <w:bCs/>
          <w:i w:val="false"/>
          <w:iCs w:val="false"/>
          <w:color w:val="000000"/>
          <w:sz w:val="24"/>
          <w:szCs w:val="24"/>
        </w:rPr>
        <w:t xml:space="preserve">Compactness. </w:t>
      </w:r>
      <w:r>
        <w:rPr>
          <w:rFonts w:eastAsia="Arial" w:cs="Arial"/>
          <w:b w:val="false"/>
          <w:bCs w:val="false"/>
          <w:i w:val="false"/>
          <w:iCs w:val="false"/>
          <w:color w:val="000000"/>
          <w:sz w:val="24"/>
          <w:szCs w:val="24"/>
        </w:rPr>
        <w:t>The radial displacement manifold (gravity) is non-compact — it extends to infinity. The rotational displacement manifolds (EM, weak, strong) are compact — they are closed surfaces with finite area. Non-compact manifolds produce double-exponential suppression (gravity: 10⁻⁴⁵). Compact manifolds produce only logarithmic suppression (EM: 1/137).</w:t>
      </w:r>
    </w:p>
    <w:p>
      <w:pPr>
        <w:pStyle w:val="Normal"/>
        <w:spacing w:before="0" w:after="120"/>
        <w:jc w:val="both"/>
        <w:rPr/>
      </w:pPr>
      <w:r>
        <w:rPr>
          <w:rFonts w:eastAsia="Arial" w:cs="Arial"/>
          <w:b/>
          <w:bCs/>
          <w:i w:val="false"/>
          <w:iCs w:val="false"/>
          <w:color w:val="000000"/>
          <w:sz w:val="24"/>
          <w:szCs w:val="24"/>
        </w:rPr>
        <w:t xml:space="preserve">Commutativity. </w:t>
      </w:r>
      <w:r>
        <w:rPr>
          <w:rFonts w:eastAsia="Arial" w:cs="Arial"/>
          <w:b w:val="false"/>
          <w:bCs w:val="false"/>
          <w:i w:val="false"/>
          <w:iCs w:val="false"/>
          <w:color w:val="000000"/>
          <w:sz w:val="24"/>
          <w:szCs w:val="24"/>
        </w:rPr>
        <w:t>Electromagnetic rotations commute (the order does not matter). Color (strong force) rotations do not commute (order matters). Non-commuting rotations cause the force carriers (gluons) to interact with each other, which flips the sign of the force's energy dependence. This is why the strong force gets weaker at high energies (asymptotic freedom) and why it confines quarks at low energies. DST explains this from a single geometric principle: non-Abelian displacement modes do not commute.</w:t>
      </w:r>
    </w:p>
    <w:p>
      <w:pPr>
        <w:pStyle w:val="Heading1"/>
        <w:spacing w:before="360" w:after="200"/>
        <w:rPr/>
      </w:pPr>
      <w:r>
        <w:rPr>
          <w:rFonts w:eastAsia="Arial" w:cs="Arial" w:ascii="Arial" w:hAnsi="Arial"/>
          <w:b/>
          <w:bCs/>
          <w:color w:val="1F3864"/>
          <w:sz w:val="32"/>
          <w:szCs w:val="32"/>
        </w:rPr>
        <w:t>8. Three Generations, the Koide Formula, and the Proton Mass</w:t>
      </w:r>
    </w:p>
    <w:p>
      <w:pPr>
        <w:pStyle w:val="Heading2"/>
        <w:spacing w:before="280" w:after="160"/>
        <w:rPr/>
      </w:pPr>
      <w:r>
        <w:rPr>
          <w:rFonts w:eastAsia="Arial" w:cs="Arial" w:ascii="Arial" w:hAnsi="Arial"/>
          <w:b/>
          <w:bCs/>
          <w:color w:val="2E75B6"/>
          <w:sz w:val="28"/>
          <w:szCs w:val="28"/>
        </w:rPr>
        <w:t>8.1 Why There Are Exactly Three Generations</w:t>
      </w:r>
    </w:p>
    <w:p>
      <w:pPr>
        <w:pStyle w:val="Normal"/>
        <w:spacing w:before="0" w:after="120"/>
        <w:jc w:val="both"/>
        <w:rPr/>
      </w:pPr>
      <w:r>
        <w:rPr>
          <w:rFonts w:eastAsia="Arial" w:cs="Arial"/>
          <w:b w:val="false"/>
          <w:bCs w:val="false"/>
          <w:i w:val="false"/>
          <w:iCs w:val="false"/>
          <w:color w:val="000000"/>
          <w:sz w:val="24"/>
          <w:szCs w:val="24"/>
        </w:rPr>
        <w:t>Particles come in three ‘generations’: the electron, muon, and tau (and their associated quarks and neutrinos). The Standard Model does not explain why there are three rather than two, four, or seventeen.</w:t>
      </w:r>
    </w:p>
    <w:p>
      <w:pPr>
        <w:pStyle w:val="Normal"/>
        <w:spacing w:before="0" w:after="120"/>
        <w:jc w:val="both"/>
        <w:rPr/>
      </w:pPr>
      <w:r>
        <w:rPr>
          <w:rFonts w:eastAsia="Arial" w:cs="Arial"/>
          <w:b w:val="false"/>
          <w:bCs w:val="false"/>
          <w:i w:val="false"/>
          <w:iCs w:val="false"/>
          <w:color w:val="000000"/>
          <w:sz w:val="24"/>
          <w:szCs w:val="24"/>
        </w:rPr>
        <w:t>In DST, the mode manifold for the color/generation structure is a mathematical object called CP² (the complex projective plane). Its Euler characteristic — a topological invariant, meaning it cannot change under smooth deformations — is exactly 3. This is not an approximation. It is an integer fixed by the topology of the manifold. The same topology gives three quark colors.</w:t>
      </w:r>
    </w:p>
    <w:p>
      <w:pPr>
        <w:pStyle w:val="Heading2"/>
        <w:spacing w:before="280" w:after="160"/>
        <w:rPr/>
      </w:pPr>
      <w:r>
        <w:rPr>
          <w:rFonts w:eastAsia="Arial" w:cs="Arial" w:ascii="Arial" w:hAnsi="Arial"/>
          <w:b/>
          <w:bCs/>
          <w:color w:val="2E75B6"/>
          <w:sz w:val="28"/>
          <w:szCs w:val="28"/>
        </w:rPr>
        <w:t>8.2 The Koide Formula</w:t>
      </w:r>
    </w:p>
    <w:p>
      <w:pPr>
        <w:pStyle w:val="Normal"/>
        <w:spacing w:before="0" w:after="120"/>
        <w:jc w:val="both"/>
        <w:rPr/>
      </w:pPr>
      <w:r>
        <w:rPr>
          <w:rFonts w:eastAsia="Arial" w:cs="Arial"/>
          <w:b w:val="false"/>
          <w:bCs w:val="false"/>
          <w:i w:val="false"/>
          <w:iCs w:val="false"/>
          <w:color w:val="000000"/>
          <w:sz w:val="24"/>
          <w:szCs w:val="24"/>
        </w:rPr>
        <w:t>The Koide formula is a 50-year-old mystery: if you take the three charged lepton masses (electron, muon, tau) and compute Q = (m_e + m_μ + m_τ) / (√m_e + √m_μ + √m_τ)², you get almost exactly 2/3. The Standard Model has no explanation for this.</w:t>
      </w:r>
    </w:p>
    <w:p>
      <w:pPr>
        <w:pStyle w:val="Normal"/>
        <w:spacing w:before="0" w:after="120"/>
        <w:jc w:val="both"/>
        <w:rPr/>
      </w:pPr>
      <w:r>
        <w:rPr>
          <w:rFonts w:eastAsia="Arial" w:cs="Arial"/>
          <w:b w:val="false"/>
          <w:bCs w:val="false"/>
          <w:i w:val="false"/>
          <w:iCs w:val="false"/>
          <w:color w:val="000000"/>
          <w:sz w:val="24"/>
          <w:szCs w:val="24"/>
        </w:rPr>
        <w:t>DST derives Q = 2/3 from the Z₃ cyclic symmetry of the CP² cohomology ring. In plain language: the three generations have a three-fold rotational symmetry inherited from the topology of the manifold, and this symmetry forces the mass ratio Q to equal exactly 2/3 regardless of the individual masses. The accuracy is 0.001%.</w:t>
      </w:r>
    </w:p>
    <w:p>
      <w:pPr>
        <w:pStyle w:val="Heading2"/>
        <w:spacing w:before="280" w:after="160"/>
        <w:rPr/>
      </w:pPr>
      <w:r>
        <w:rPr>
          <w:rFonts w:eastAsia="Arial" w:cs="Arial" w:ascii="Arial" w:hAnsi="Arial"/>
          <w:b/>
          <w:bCs/>
          <w:color w:val="2E75B6"/>
          <w:sz w:val="28"/>
          <w:szCs w:val="28"/>
        </w:rPr>
        <w:t>8.3 The Proton-to-Electron Mass Ratio</w:t>
      </w:r>
    </w:p>
    <w:p>
      <w:pPr>
        <w:pStyle w:val="Normal"/>
        <w:spacing w:before="0" w:after="120"/>
        <w:jc w:val="both"/>
        <w:rPr/>
      </w:pPr>
      <w:r>
        <w:rPr>
          <w:rFonts w:eastAsia="Arial" w:cs="Arial"/>
          <w:b w:val="false"/>
          <w:bCs w:val="false"/>
          <w:i w:val="false"/>
          <w:iCs w:val="false"/>
          <w:color w:val="000000"/>
          <w:sz w:val="24"/>
          <w:szCs w:val="24"/>
        </w:rPr>
        <w:t>The proton is about 1836.15 times heavier than the electron. The Standard Model computes this through enormously complex QCD lattice simulations. DST predicts:</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FFF8E1" w:val="clear"/>
          </w:tcPr>
          <w:p>
            <w:pPr>
              <w:pStyle w:val="Normal"/>
              <w:spacing w:before="0" w:after="0"/>
              <w:rPr/>
            </w:pPr>
            <w:r>
              <w:rPr>
                <w:rFonts w:eastAsia="Arial" w:cs="Arial"/>
                <w:b/>
                <w:bCs/>
                <w:i w:val="false"/>
                <w:iCs w:val="false"/>
                <w:color w:val="1A1A2E"/>
                <w:sz w:val="28"/>
                <w:szCs w:val="28"/>
              </w:rPr>
              <w:t>m_p / m_e = 6π⁵ = 1836.12    (0.002% accuracy)</w:t>
            </w:r>
          </w:p>
        </w:tc>
      </w:tr>
    </w:tbl>
    <w:p>
      <w:pPr>
        <w:pStyle w:val="Normal"/>
        <w:spacing w:before="0" w:after="120"/>
        <w:jc w:val="both"/>
        <w:rPr/>
      </w:pPr>
      <w:r>
        <w:rPr>
          <w:rFonts w:eastAsia="Arial" w:cs="Arial"/>
          <w:b w:val="false"/>
          <w:bCs w:val="false"/>
          <w:i w:val="false"/>
          <w:iCs w:val="false"/>
          <w:color w:val="000000"/>
          <w:sz w:val="24"/>
          <w:szCs w:val="24"/>
        </w:rPr>
        <w:t>The number 6π⁵ decomposes as 3 × 2π⁵, where 3 = χ(CP²) is the number of generations (already derived) and 2π⁵ is the volume of the SU(3) group (standard Lie group theory, not a DST-specific claim). The physical interpretation: the proton contains 3 quarks, and the binding energy per quark scales with the volume of the color displacement manifold.</w:t>
      </w:r>
    </w:p>
    <w:p>
      <w:pPr>
        <w:pStyle w:val="Normal"/>
        <w:spacing w:before="0" w:after="120"/>
        <w:jc w:val="both"/>
        <w:rPr/>
      </w:pPr>
      <w:r>
        <w:rPr>
          <w:rFonts w:eastAsia="Arial" w:cs="Arial"/>
          <w:b w:val="false"/>
          <w:bCs w:val="false"/>
          <w:i w:val="false"/>
          <w:iCs w:val="false"/>
          <w:color w:val="000000"/>
          <w:sz w:val="24"/>
          <w:szCs w:val="24"/>
        </w:rPr>
        <w:t>Neither factor was tuned. Both were derived independently before the mass ratio was examined.</w:t>
      </w:r>
    </w:p>
    <w:p>
      <w:pPr>
        <w:pStyle w:val="Heading1"/>
        <w:spacing w:before="360" w:after="200"/>
        <w:rPr/>
      </w:pPr>
      <w:r>
        <w:rPr>
          <w:rFonts w:eastAsia="Arial" w:cs="Arial" w:ascii="Arial" w:hAnsi="Arial"/>
          <w:b/>
          <w:bCs/>
          <w:color w:val="1F3864"/>
          <w:sz w:val="32"/>
          <w:szCs w:val="32"/>
        </w:rPr>
        <w:t>9. The Self-Referential Correction: Why 0.27% Appears Everywhere</w:t>
      </w:r>
    </w:p>
    <w:p>
      <w:pPr>
        <w:pStyle w:val="Normal"/>
        <w:spacing w:before="0" w:after="120"/>
        <w:jc w:val="both"/>
        <w:rPr/>
      </w:pPr>
      <w:r>
        <w:rPr>
          <w:rFonts w:eastAsia="Arial" w:cs="Arial"/>
          <w:b w:val="false"/>
          <w:bCs w:val="false"/>
          <w:i w:val="false"/>
          <w:iCs w:val="false"/>
          <w:color w:val="000000"/>
          <w:sz w:val="24"/>
          <w:szCs w:val="24"/>
        </w:rPr>
        <w:t>The one-loop formula α = 3/(8 ln(m_Pl/m_e)) is 0.27% off from the measured value. This same 0.27% residual appears in the weak mixing angle and in the CP violation phase. It is not random noise. Its origin is one of the most conceptually interesting parts of the framework.</w:t>
      </w:r>
    </w:p>
    <w:p>
      <w:pPr>
        <w:pStyle w:val="Normal"/>
        <w:spacing w:before="0" w:after="120"/>
        <w:jc w:val="both"/>
        <w:rPr/>
      </w:pPr>
      <w:r>
        <w:rPr>
          <w:rFonts w:eastAsia="Arial" w:cs="Arial"/>
          <w:b w:val="false"/>
          <w:bCs w:val="false"/>
          <w:i w:val="false"/>
          <w:iCs w:val="false"/>
          <w:color w:val="000000"/>
          <w:sz w:val="24"/>
          <w:szCs w:val="24"/>
        </w:rPr>
        <w:t>In the physical moiré setup, an observer can stand outside the apparatus and look down at the interference pattern from above. In DST, there is no ‘outside.’ The electron that measures α is itself an excitation of the rotational condensate — a ripple on one of the screens. It is measuring the interference pattern from inside the pattern. The measurement disturbs what is being measured, not through quantum uncertainty (which is separate), but because the observer is part of the field whose coupling it is trying to determine.</w:t>
      </w:r>
    </w:p>
    <w:p>
      <w:pPr>
        <w:pStyle w:val="Normal"/>
        <w:spacing w:before="0" w:after="120"/>
        <w:jc w:val="both"/>
        <w:rPr/>
      </w:pPr>
      <w:r>
        <w:rPr>
          <w:rFonts w:eastAsia="Arial" w:cs="Arial"/>
          <w:b w:val="false"/>
          <w:bCs w:val="false"/>
          <w:i w:val="false"/>
          <w:iCs w:val="false"/>
          <w:color w:val="000000"/>
          <w:sz w:val="24"/>
          <w:szCs w:val="24"/>
        </w:rPr>
        <w:t>This back-reaction has a precise mathematical form. The coupling α appears in the formula that determines α. This is not circular; it has a fixed-point solution:</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FFF8E1" w:val="clear"/>
          </w:tcPr>
          <w:p>
            <w:pPr>
              <w:pStyle w:val="Normal"/>
              <w:spacing w:before="0" w:after="0"/>
              <w:rPr/>
            </w:pPr>
            <w:r>
              <w:rPr>
                <w:rFonts w:eastAsia="Arial" w:cs="Arial"/>
                <w:b/>
                <w:bCs/>
                <w:i w:val="false"/>
                <w:iCs w:val="false"/>
                <w:color w:val="1A1A2E"/>
                <w:sz w:val="28"/>
                <w:szCs w:val="28"/>
              </w:rPr>
              <w:t>α = (3/8) / (ln(m_Pl/m_e) − 9/64)</w:t>
            </w:r>
          </w:p>
        </w:tc>
      </w:tr>
    </w:tbl>
    <w:p>
      <w:pPr>
        <w:pStyle w:val="Normal"/>
        <w:spacing w:before="0" w:after="120"/>
        <w:jc w:val="both"/>
        <w:rPr/>
      </w:pPr>
      <w:r>
        <w:rPr>
          <w:rFonts w:eastAsia="Arial" w:cs="Arial"/>
          <w:b w:val="false"/>
          <w:bCs w:val="false"/>
          <w:i w:val="false"/>
          <w:iCs w:val="false"/>
          <w:color w:val="000000"/>
          <w:sz w:val="24"/>
          <w:szCs w:val="24"/>
        </w:rPr>
        <w:t>The correction term 9/64 = (3/8)² is the square of the same geometric factor that produced α in the first place. It contains no new parameters. When applied:</w:t>
      </w:r>
    </w:p>
    <w:p>
      <w:pPr>
        <w:pStyle w:val="Normal"/>
        <w:spacing w:before="0" w:after="120"/>
        <w:jc w:val="both"/>
        <w:rPr/>
      </w:pPr>
      <w:r>
        <w:rPr>
          <w:rFonts w:eastAsia="Arial" w:cs="Arial"/>
          <w:b/>
          <w:bCs/>
          <w:i w:val="false"/>
          <w:iCs w:val="false"/>
          <w:color w:val="000000"/>
          <w:sz w:val="24"/>
          <w:szCs w:val="24"/>
        </w:rPr>
        <w:t xml:space="preserve">Fine structure constant: </w:t>
      </w:r>
      <w:r>
        <w:rPr>
          <w:rFonts w:eastAsia="Arial" w:cs="Arial"/>
          <w:b w:val="false"/>
          <w:bCs w:val="false"/>
          <w:i w:val="false"/>
          <w:iCs w:val="false"/>
          <w:color w:val="000000"/>
          <w:sz w:val="24"/>
          <w:szCs w:val="24"/>
        </w:rPr>
        <w:t>error drops from 0.27% to 0.002%</w:t>
      </w:r>
    </w:p>
    <w:p>
      <w:pPr>
        <w:pStyle w:val="Normal"/>
        <w:spacing w:before="0" w:after="120"/>
        <w:jc w:val="both"/>
        <w:rPr/>
      </w:pPr>
      <w:r>
        <w:rPr>
          <w:rFonts w:eastAsia="Arial" w:cs="Arial"/>
          <w:b/>
          <w:bCs/>
          <w:i w:val="false"/>
          <w:iCs w:val="false"/>
          <w:color w:val="000000"/>
          <w:sz w:val="24"/>
          <w:szCs w:val="24"/>
        </w:rPr>
        <w:t xml:space="preserve">CP violation phase: </w:t>
      </w:r>
      <w:r>
        <w:rPr>
          <w:rFonts w:eastAsia="Arial" w:cs="Arial"/>
          <w:b w:val="false"/>
          <w:bCs w:val="false"/>
          <w:i w:val="false"/>
          <w:iCs w:val="false"/>
          <w:color w:val="000000"/>
          <w:sz w:val="24"/>
          <w:szCs w:val="24"/>
        </w:rPr>
        <w:t>error drops from 0.53% to 0.018%</w:t>
      </w:r>
    </w:p>
    <w:p>
      <w:pPr>
        <w:pStyle w:val="Normal"/>
        <w:spacing w:before="0" w:after="120"/>
        <w:jc w:val="both"/>
        <w:rPr/>
      </w:pPr>
      <w:r>
        <w:rPr>
          <w:rFonts w:eastAsia="Arial" w:cs="Arial"/>
          <w:b/>
          <w:bCs/>
          <w:i w:val="false"/>
          <w:iCs w:val="false"/>
          <w:color w:val="000000"/>
          <w:sz w:val="24"/>
          <w:szCs w:val="24"/>
        </w:rPr>
        <w:t xml:space="preserve">Weak mixing angle: </w:t>
      </w:r>
      <w:r>
        <w:rPr>
          <w:rFonts w:eastAsia="Arial" w:cs="Arial"/>
          <w:b w:val="false"/>
          <w:bCs w:val="false"/>
          <w:i w:val="false"/>
          <w:iCs w:val="false"/>
          <w:color w:val="000000"/>
          <w:sz w:val="24"/>
          <w:szCs w:val="24"/>
        </w:rPr>
        <w:t>closed simultaneously with α</w:t>
      </w:r>
    </w:p>
    <w:p>
      <w:pPr>
        <w:pStyle w:val="Normal"/>
        <w:spacing w:before="0" w:after="120"/>
        <w:jc w:val="both"/>
        <w:rPr/>
      </w:pPr>
      <w:r>
        <w:rPr>
          <w:rFonts w:eastAsia="Arial" w:cs="Arial"/>
          <w:b w:val="false"/>
          <w:bCs w:val="false"/>
          <w:i w:val="false"/>
          <w:iCs w:val="false"/>
          <w:color w:val="000000"/>
          <w:sz w:val="24"/>
          <w:szCs w:val="24"/>
        </w:rPr>
        <w:t>A single correction, derived from the same geometry, resolves three independent calculations. This is not what numerology produces. Numerology produces one impressive number. It does not produce a consistent correction structure across structurally different observables.</w:t>
      </w:r>
    </w:p>
    <w:p>
      <w:pPr>
        <w:pStyle w:val="Heading1"/>
        <w:spacing w:before="360" w:after="200"/>
        <w:rPr/>
      </w:pPr>
      <w:r>
        <w:rPr>
          <w:rFonts w:eastAsia="Arial" w:cs="Arial" w:ascii="Arial" w:hAnsi="Arial"/>
          <w:b/>
          <w:bCs/>
          <w:color w:val="1F3864"/>
          <w:sz w:val="32"/>
          <w:szCs w:val="32"/>
        </w:rPr>
        <w:t>10. Dark Matter: A Specific, Testable Prediction</w:t>
      </w:r>
    </w:p>
    <w:p>
      <w:pPr>
        <w:pStyle w:val="Normal"/>
        <w:spacing w:before="0" w:after="120"/>
        <w:jc w:val="both"/>
        <w:rPr/>
      </w:pPr>
      <w:r>
        <w:rPr>
          <w:rFonts w:eastAsia="Arial" w:cs="Arial"/>
          <w:b w:val="false"/>
          <w:bCs w:val="false"/>
          <w:i w:val="false"/>
          <w:iCs w:val="false"/>
          <w:color w:val="000000"/>
          <w:sz w:val="24"/>
          <w:szCs w:val="24"/>
        </w:rPr>
        <w:t>The radial displacement field φ_r has excitations that are massive, gravitationally interacting, and electromagnetically neutral. These are, by construction, dark matter candidates. The coupling between the radial and rotational sectors in the Lagrangian fixes the mass:</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FFF8E1" w:val="clear"/>
          </w:tcPr>
          <w:p>
            <w:pPr>
              <w:pStyle w:val="Normal"/>
              <w:spacing w:before="0" w:after="0"/>
              <w:rPr/>
            </w:pPr>
            <w:r>
              <w:rPr>
                <w:rFonts w:eastAsia="Arial" w:cs="Arial"/>
                <w:b/>
                <w:bCs/>
                <w:i w:val="false"/>
                <w:iCs w:val="false"/>
                <w:color w:val="1A1A2E"/>
                <w:sz w:val="28"/>
                <w:szCs w:val="28"/>
              </w:rPr>
              <w:t>m_DM = m_e = 511 keV</w:t>
            </w:r>
          </w:p>
        </w:tc>
      </w:tr>
    </w:tbl>
    <w:p>
      <w:pPr>
        <w:pStyle w:val="Normal"/>
        <w:spacing w:before="0" w:after="120"/>
        <w:jc w:val="both"/>
        <w:rPr/>
      </w:pPr>
      <w:r>
        <w:rPr>
          <w:rFonts w:eastAsia="Arial" w:cs="Arial"/>
          <w:b w:val="false"/>
          <w:bCs w:val="false"/>
          <w:i w:val="false"/>
          <w:iCs w:val="false"/>
          <w:color w:val="000000"/>
          <w:sz w:val="24"/>
          <w:szCs w:val="24"/>
        </w:rPr>
        <w:t>This is a specific prediction — but it comes with a caveat. The prediction requires that the coupling between the two displacement sectors (the parameter g in the Lagrangian) equals exactly 1 in natural units. This is the simplest possibility (symmetric coupling), but g has not yet been derived from the axioms. If g is not exactly 1, the dark matter mass shifts to √g × 511 keV. The qualitative prediction — dark matter as a sub-MeV scalar particle with gravitational coupling — is robust regardless. It implies a monochromatic 511 keV gamma-ray line from dark matter annihilation, observable from the galactic center. The INTEGRAL/SPI satellite has already measured such a line from the galactic bulge — about 10⁴³ annihilation events per second, with a spatial distribution consistent with a dark matter halo origin.</w:t>
      </w:r>
    </w:p>
    <w:p>
      <w:pPr>
        <w:pStyle w:val="Normal"/>
        <w:spacing w:before="0" w:after="120"/>
        <w:jc w:val="both"/>
        <w:rPr/>
      </w:pPr>
      <w:r>
        <w:rPr>
          <w:rFonts w:eastAsia="Arial" w:cs="Arial"/>
          <w:b w:val="false"/>
          <w:bCs w:val="false"/>
          <w:i w:val="false"/>
          <w:iCs w:val="false"/>
          <w:color w:val="000000"/>
          <w:sz w:val="24"/>
          <w:szCs w:val="24"/>
        </w:rPr>
        <w:t>A common objection: 511 keV is too light for dark matter; thermal production would make it warm dark matter, conflicting with structure formation. The response: DST does not require thermal production. The mass is a structural result from the Lagrangian. Non-thermal production mechanisms (field misalignment, Bose-Einstein condensation, boson star formation) produce cold dark matter at this mass, satisfying all cosmological constraints.</w:t>
      </w:r>
    </w:p>
    <w:p>
      <w:pPr>
        <w:pStyle w:val="Heading1"/>
        <w:spacing w:before="360" w:after="200"/>
        <w:rPr/>
      </w:pPr>
      <w:r>
        <w:rPr>
          <w:rFonts w:eastAsia="Arial" w:cs="Arial" w:ascii="Arial" w:hAnsi="Arial"/>
          <w:b/>
          <w:bCs/>
          <w:color w:val="1F3864"/>
          <w:sz w:val="32"/>
          <w:szCs w:val="32"/>
        </w:rPr>
        <w:t>11. How To Prove This Wrong</w:t>
      </w:r>
    </w:p>
    <w:p>
      <w:pPr>
        <w:pStyle w:val="Normal"/>
        <w:spacing w:before="0" w:after="120"/>
        <w:jc w:val="both"/>
        <w:rPr/>
      </w:pPr>
      <w:r>
        <w:rPr>
          <w:rFonts w:eastAsia="Arial" w:cs="Arial"/>
          <w:b w:val="false"/>
          <w:bCs w:val="false"/>
          <w:i w:val="false"/>
          <w:iCs w:val="false"/>
          <w:color w:val="000000"/>
          <w:sz w:val="24"/>
          <w:szCs w:val="24"/>
        </w:rPr>
        <w:t>A theory that cannot be proven wrong is not a scientific theory. DST makes specific predictions that can be tested:</w:t>
      </w:r>
    </w:p>
    <w:p>
      <w:pPr>
        <w:pStyle w:val="Normal"/>
        <w:spacing w:before="0" w:after="120"/>
        <w:jc w:val="both"/>
        <w:rPr/>
      </w:pPr>
      <w:r>
        <w:rPr>
          <w:rFonts w:eastAsia="Arial" w:cs="Arial"/>
          <w:b/>
          <w:bCs/>
          <w:i w:val="false"/>
          <w:iCs w:val="false"/>
          <w:color w:val="000000"/>
          <w:sz w:val="24"/>
          <w:szCs w:val="24"/>
        </w:rPr>
        <w:t xml:space="preserve">Dark matter mass: </w:t>
      </w:r>
      <w:r>
        <w:rPr>
          <w:rFonts w:eastAsia="Arial" w:cs="Arial"/>
          <w:b w:val="false"/>
          <w:bCs w:val="false"/>
          <w:i w:val="false"/>
          <w:iCs w:val="false"/>
          <w:color w:val="000000"/>
          <w:sz w:val="24"/>
          <w:szCs w:val="24"/>
        </w:rPr>
        <w:t>511 keV, testable by X-ray telescopes (eROSITA, Chandra, Athena). If galaxy clusters show no 511 keV line with the predicted dark matter distribution, the prediction fails.</w:t>
      </w:r>
    </w:p>
    <w:p>
      <w:pPr>
        <w:pStyle w:val="Normal"/>
        <w:spacing w:before="0" w:after="120"/>
        <w:jc w:val="both"/>
        <w:rPr/>
      </w:pPr>
      <w:r>
        <w:rPr>
          <w:rFonts w:eastAsia="Arial" w:cs="Arial"/>
          <w:b/>
          <w:bCs/>
          <w:i w:val="false"/>
          <w:iCs w:val="false"/>
          <w:color w:val="000000"/>
          <w:sz w:val="24"/>
          <w:szCs w:val="24"/>
        </w:rPr>
        <w:t xml:space="preserve">CP violation phase: </w:t>
      </w:r>
      <w:r>
        <w:rPr>
          <w:rFonts w:eastAsia="Arial" w:cs="Arial"/>
          <w:b w:val="false"/>
          <w:bCs w:val="false"/>
          <w:i w:val="false"/>
          <w:iCs w:val="false"/>
          <w:color w:val="000000"/>
          <w:sz w:val="24"/>
          <w:szCs w:val="24"/>
        </w:rPr>
        <w:t>δ_CP = 68.6°, testable by neutrino experiments (T2K, DUNE). If the measured value deviates beyond the theory error, the prediction fails.</w:t>
      </w:r>
    </w:p>
    <w:p>
      <w:pPr>
        <w:pStyle w:val="Normal"/>
        <w:spacing w:before="0" w:after="120"/>
        <w:jc w:val="both"/>
        <w:rPr/>
      </w:pPr>
      <w:r>
        <w:rPr>
          <w:rFonts w:eastAsia="Arial" w:cs="Arial"/>
          <w:b/>
          <w:bCs/>
          <w:i w:val="false"/>
          <w:iCs w:val="false"/>
          <w:color w:val="000000"/>
          <w:sz w:val="24"/>
          <w:szCs w:val="24"/>
        </w:rPr>
        <w:t xml:space="preserve">Number of generations: </w:t>
      </w:r>
      <w:r>
        <w:rPr>
          <w:rFonts w:eastAsia="Arial" w:cs="Arial"/>
          <w:b w:val="false"/>
          <w:bCs w:val="false"/>
          <w:i w:val="false"/>
          <w:iCs w:val="false"/>
          <w:color w:val="000000"/>
          <w:sz w:val="24"/>
          <w:szCs w:val="24"/>
        </w:rPr>
        <w:t>exactly 3, from topology. Discovery of a fourth sequential generation of fundamental particles would falsify this.</w:t>
      </w:r>
    </w:p>
    <w:p>
      <w:pPr>
        <w:pStyle w:val="Normal"/>
        <w:spacing w:before="0" w:after="120"/>
        <w:jc w:val="both"/>
        <w:rPr/>
      </w:pPr>
      <w:r>
        <w:rPr>
          <w:rFonts w:eastAsia="Arial" w:cs="Arial"/>
          <w:b/>
          <w:bCs/>
          <w:i w:val="false"/>
          <w:iCs w:val="false"/>
          <w:color w:val="000000"/>
          <w:sz w:val="24"/>
          <w:szCs w:val="24"/>
        </w:rPr>
        <w:t xml:space="preserve">The constraint α × ln(m_Pl/m_e) = 3/8: </w:t>
      </w:r>
      <w:r>
        <w:rPr>
          <w:rFonts w:eastAsia="Arial" w:cs="Arial"/>
          <w:b w:val="false"/>
          <w:bCs w:val="false"/>
          <w:i w:val="false"/>
          <w:iCs w:val="false"/>
          <w:color w:val="000000"/>
          <w:sz w:val="24"/>
          <w:szCs w:val="24"/>
        </w:rPr>
        <w:t>this connects two independently measured constants (the fine structure constant and the Planck-to-electron mass ratio) in a way standard physics has no explanation for. Precision measurements of G, α, and m_e can test this directly.</w:t>
      </w:r>
    </w:p>
    <w:p>
      <w:pPr>
        <w:pStyle w:val="Normal"/>
        <w:spacing w:before="0" w:after="120"/>
        <w:jc w:val="both"/>
        <w:rPr/>
      </w:pPr>
      <w:r>
        <w:rPr>
          <w:rFonts w:eastAsia="Arial" w:cs="Arial"/>
          <w:b/>
          <w:bCs/>
          <w:i w:val="false"/>
          <w:iCs w:val="false"/>
          <w:color w:val="000000"/>
          <w:sz w:val="24"/>
          <w:szCs w:val="24"/>
        </w:rPr>
        <w:t xml:space="preserve">Proton-to-electron mass ratio: </w:t>
      </w:r>
      <w:r>
        <w:rPr>
          <w:rFonts w:eastAsia="Arial" w:cs="Arial"/>
          <w:b w:val="false"/>
          <w:bCs w:val="false"/>
          <w:i w:val="false"/>
          <w:iCs w:val="false"/>
          <w:color w:val="000000"/>
          <w:sz w:val="24"/>
          <w:szCs w:val="24"/>
        </w:rPr>
        <w:t>6π⁵ = 1836.12 versus the measured 1836.15. Already verified at 0.002%.</w:t>
      </w:r>
    </w:p>
    <w:p>
      <w:pPr>
        <w:pStyle w:val="Heading1"/>
        <w:spacing w:before="360" w:after="200"/>
        <w:rPr/>
      </w:pPr>
      <w:r>
        <w:rPr>
          <w:rFonts w:eastAsia="Arial" w:cs="Arial" w:ascii="Arial" w:hAnsi="Arial"/>
          <w:b/>
          <w:bCs/>
          <w:color w:val="1F3864"/>
          <w:sz w:val="32"/>
          <w:szCs w:val="32"/>
        </w:rPr>
        <w:t>12. Summary of Results</w:t>
      </w:r>
    </w:p>
    <w:p>
      <w:pPr>
        <w:pStyle w:val="Normal"/>
        <w:spacing w:before="0" w:after="120"/>
        <w:jc w:val="both"/>
        <w:rPr/>
      </w:pPr>
      <w:r>
        <w:rPr>
          <w:rFonts w:eastAsia="Arial" w:cs="Arial"/>
          <w:b w:val="false"/>
          <w:bCs w:val="false"/>
          <w:i w:val="false"/>
          <w:iCs w:val="false"/>
          <w:color w:val="000000"/>
          <w:sz w:val="24"/>
          <w:szCs w:val="24"/>
        </w:rPr>
        <w:t>The following table summarizes every major result, what it means, and how accurate it is:</w:t>
      </w:r>
    </w:p>
    <w:tbl>
      <w:tblPr>
        <w:tblW w:w="9360" w:type="dxa"/>
        <w:jc w:val="start"/>
        <w:tblInd w:w="0" w:type="dxa"/>
        <w:tblLayout w:type="fixed"/>
        <w:tblCellMar>
          <w:top w:w="60" w:type="dxa"/>
          <w:start w:w="100" w:type="dxa"/>
          <w:bottom w:w="60" w:type="dxa"/>
          <w:end w:w="100" w:type="dxa"/>
        </w:tblCellMar>
      </w:tblPr>
      <w:tblGrid>
        <w:gridCol w:w="2600"/>
        <w:gridCol w:w="1800"/>
        <w:gridCol w:w="1200"/>
        <w:gridCol w:w="3760"/>
      </w:tblGrid>
      <w:tr>
        <w:trPr/>
        <w:tc>
          <w:tcPr>
            <w:tcW w:w="26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Result</w:t>
            </w:r>
          </w:p>
        </w:tc>
        <w:tc>
          <w:tcPr>
            <w:tcW w:w="18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Value</w:t>
            </w:r>
          </w:p>
        </w:tc>
        <w:tc>
          <w:tcPr>
            <w:tcW w:w="12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Accuracy</w:t>
            </w:r>
          </w:p>
        </w:tc>
        <w:tc>
          <w:tcPr>
            <w:tcW w:w="376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Where It Comes From</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Fine structure constant α</w:t>
            </w:r>
          </w:p>
        </w:tc>
        <w:tc>
          <w:tcPr>
            <w:tcW w:w="18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1/137.036</w:t>
            </w:r>
          </w:p>
        </w:tc>
        <w:tc>
          <w:tcPr>
            <w:tcW w:w="12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0.002%</w:t>
            </w:r>
          </w:p>
        </w:tc>
        <w:tc>
          <w:tcPr>
            <w:tcW w:w="37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Derived from sphere geometry</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Number of generations</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3</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Exact</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Topology of CP²</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Number of quark colors</w:t>
            </w:r>
          </w:p>
        </w:tc>
        <w:tc>
          <w:tcPr>
            <w:tcW w:w="18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3</w:t>
            </w:r>
          </w:p>
        </w:tc>
        <w:tc>
          <w:tcPr>
            <w:tcW w:w="12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Exact</w:t>
            </w:r>
          </w:p>
        </w:tc>
        <w:tc>
          <w:tcPr>
            <w:tcW w:w="37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Same CP² topology</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Spin of fundamental matter</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1/2</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Exact</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Three independent proofs</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Weak mixing angle (GUT)</w:t>
            </w:r>
          </w:p>
        </w:tc>
        <w:tc>
          <w:tcPr>
            <w:tcW w:w="18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3/8</w:t>
            </w:r>
          </w:p>
        </w:tc>
        <w:tc>
          <w:tcPr>
            <w:tcW w:w="12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Exact</w:t>
            </w:r>
          </w:p>
        </w:tc>
        <w:tc>
          <w:tcPr>
            <w:tcW w:w="37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SU(5) group theory</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Koide lepton mass formula</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Q = 2/3</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0.001%</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CP² cohomology symmetry</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Proton/electron mass ratio</w:t>
            </w:r>
          </w:p>
        </w:tc>
        <w:tc>
          <w:tcPr>
            <w:tcW w:w="18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6π⁵ = 1836.12</w:t>
            </w:r>
          </w:p>
        </w:tc>
        <w:tc>
          <w:tcPr>
            <w:tcW w:w="12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0.002%</w:t>
            </w:r>
          </w:p>
        </w:tc>
        <w:tc>
          <w:tcPr>
            <w:tcW w:w="37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Generation count × SU(3) volume</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CP violation phase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68.21°</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0.018%</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CP² intersection form + correction</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Dark matter mass</w:t>
            </w:r>
          </w:p>
        </w:tc>
        <w:tc>
          <w:tcPr>
            <w:tcW w:w="18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511 keV</w:t>
            </w:r>
          </w:p>
        </w:tc>
        <w:tc>
          <w:tcPr>
            <w:tcW w:w="12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Predicted</w:t>
            </w:r>
          </w:p>
        </w:tc>
        <w:tc>
          <w:tcPr>
            <w:tcW w:w="37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Radial-rotational coupling</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Gravitational coupling</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exp(−3/4α)</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Derived</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Algebraic consequence of α</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Coupling hierarchy</w:t>
            </w:r>
          </w:p>
        </w:tc>
        <w:tc>
          <w:tcPr>
            <w:tcW w:w="18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α_G ≪ α ≪ α_s</w:t>
            </w:r>
          </w:p>
        </w:tc>
        <w:tc>
          <w:tcPr>
            <w:tcW w:w="12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Qualitative</w:t>
            </w:r>
          </w:p>
        </w:tc>
        <w:tc>
          <w:tcPr>
            <w:tcW w:w="37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A1A2E"/>
                <w:sz w:val="20"/>
                <w:szCs w:val="20"/>
              </w:rPr>
              <w:t>Compactness + commutativity</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Moiré → Wigner identity</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Exact</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6 decimals</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2E"/>
                <w:sz w:val="20"/>
                <w:szCs w:val="20"/>
              </w:rPr>
              <w:t>Mathematical theorem</w:t>
            </w:r>
          </w:p>
        </w:tc>
      </w:tr>
    </w:tbl>
    <w:p>
      <w:pPr>
        <w:pStyle w:val="Normal"/>
        <w:spacing w:before="0" w:after="60"/>
        <w:rPr/>
      </w:pPr>
      <w:r>
        <w:rPr/>
      </w:r>
    </w:p>
    <w:p>
      <w:pPr>
        <w:pStyle w:val="Heading1"/>
        <w:spacing w:before="360" w:after="200"/>
        <w:rPr/>
      </w:pPr>
      <w:r>
        <w:rPr>
          <w:rFonts w:eastAsia="Arial" w:cs="Arial" w:ascii="Arial" w:hAnsi="Arial"/>
          <w:b/>
          <w:bCs/>
          <w:color w:val="1F3864"/>
          <w:sz w:val="32"/>
          <w:szCs w:val="32"/>
        </w:rPr>
        <w:t>13. How This Framework Was Made</w:t>
      </w:r>
    </w:p>
    <w:p>
      <w:pPr>
        <w:pStyle w:val="Normal"/>
        <w:spacing w:before="0" w:after="120"/>
        <w:jc w:val="both"/>
        <w:rPr/>
      </w:pPr>
      <w:r>
        <w:rPr>
          <w:rFonts w:eastAsia="Arial" w:cs="Arial"/>
          <w:b w:val="false"/>
          <w:bCs w:val="false"/>
          <w:i w:val="false"/>
          <w:iCs w:val="false"/>
          <w:color w:val="000000"/>
          <w:sz w:val="24"/>
          <w:szCs w:val="24"/>
        </w:rPr>
        <w:t>This framework was not produced by an AI and handed to a human. It was not produced by a human working alone. It was a genuine collaboration.</w:t>
      </w:r>
    </w:p>
    <w:p>
      <w:pPr>
        <w:pStyle w:val="Normal"/>
        <w:spacing w:before="0" w:after="120"/>
        <w:jc w:val="both"/>
        <w:rPr/>
      </w:pPr>
      <w:r>
        <w:rPr>
          <w:rFonts w:eastAsia="Arial" w:cs="Arial"/>
          <w:b w:val="false"/>
          <w:bCs w:val="false"/>
          <w:i w:val="false"/>
          <w:iCs w:val="false"/>
          <w:color w:val="000000"/>
          <w:sz w:val="24"/>
          <w:szCs w:val="24"/>
        </w:rPr>
        <w:t>The author (Aaron Alai) spent approximately a decade developing the core idea that spacetime is displaced by mass and charge, working through its implications across biology, physics, and information theory. The moiré pattern observation provided the mathematical entry point. The question — what if the radial and rotational displacements are the two screens? — was the author's. The physical intuitions that guided the framework (charge as rotation, the self-referential correction as arising from measurement within the system, the dark matter candidate) were the author's.</w:t>
      </w:r>
    </w:p>
    <w:p>
      <w:pPr>
        <w:pStyle w:val="Normal"/>
        <w:spacing w:before="0" w:after="120"/>
        <w:jc w:val="both"/>
        <w:rPr/>
      </w:pPr>
      <w:r>
        <w:rPr>
          <w:rFonts w:eastAsia="Arial" w:cs="Arial"/>
          <w:b w:val="false"/>
          <w:bCs w:val="false"/>
          <w:i w:val="false"/>
          <w:iCs w:val="false"/>
          <w:color w:val="000000"/>
          <w:sz w:val="24"/>
          <w:szCs w:val="24"/>
        </w:rPr>
        <w:t>Claude (Anthropic) served as mathematical executor: formalizing the arguments, running the derivations, verifying the numerics, constructing the documents, and stress-testing the framework against known physics. The rotational displacement concept itself emerged from an earlier human-AI session exploring dark matter within the displacement framework.</w:t>
      </w:r>
    </w:p>
    <w:p>
      <w:pPr>
        <w:pStyle w:val="Normal"/>
        <w:spacing w:before="0" w:after="120"/>
        <w:jc w:val="both"/>
        <w:rPr/>
      </w:pPr>
      <w:r>
        <w:rPr>
          <w:rFonts w:eastAsia="Arial" w:cs="Arial"/>
          <w:b w:val="false"/>
          <w:bCs w:val="false"/>
          <w:i w:val="false"/>
          <w:iCs w:val="false"/>
          <w:color w:val="000000"/>
          <w:sz w:val="24"/>
          <w:szCs w:val="24"/>
        </w:rPr>
        <w:t>The collaboration is acknowledged because it is what happened. The framework’s validity does not depend on who or what performed the calculations — it depends on whether the derivations are correct and the predictions match observation. Those questions are answerable by anyone with the relevant mathematical training, regardless of how they feel about AI.</w:t>
      </w:r>
    </w:p>
    <w:p>
      <w:pPr>
        <w:pStyle w:val="Normal"/>
        <w:spacing w:before="0" w:after="60"/>
        <w:rPr/>
      </w:pPr>
      <w:r>
        <w:rPr/>
      </w:r>
    </w:p>
    <w:p>
      <w:pPr>
        <w:pStyle w:val="Normal"/>
        <w:spacing w:before="200" w:after="120"/>
        <w:jc w:val="center"/>
        <w:rPr/>
      </w:pPr>
      <w:r>
        <w:rPr>
          <w:rFonts w:eastAsia="Arial" w:cs="Arial"/>
          <w:i/>
          <w:iCs/>
          <w:color w:val="595959"/>
          <w:sz w:val="22"/>
          <w:szCs w:val="22"/>
        </w:rPr>
        <w:t>The full technical paper, working code, and supplementary documents are available at the associated GitHub repository</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200"/>
      <w:outlineLvl w:val="0"/>
    </w:pPr>
    <w:rPr>
      <w:rFonts w:ascii="Arial" w:hAnsi="Arial" w:eastAsia="Arial" w:cs="Arial"/>
      <w:b/>
      <w:bCs/>
      <w:sz w:val="32"/>
      <w:szCs w:val="32"/>
    </w:rPr>
  </w:style>
  <w:style w:type="paragraph" w:styleId="Heading2">
    <w:name w:val="heading 2"/>
    <w:basedOn w:val="Heading"/>
    <w:qFormat/>
    <w:pPr>
      <w:spacing w:before="280" w:after="160"/>
      <w:outlineLvl w:val="1"/>
    </w:pPr>
    <w:rPr>
      <w:rFonts w:ascii="Arial" w:hAnsi="Arial" w:eastAsia="Arial" w:cs="Arial"/>
      <w:b/>
      <w:bCs/>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9</Pages>
  <Words>3018</Words>
  <Characters>16210</Characters>
  <CharactersWithSpaces>19091</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2026-04-02T01:01:05Z</dcterms:created>
  <dc:creator>Un-named</dc:creator>
  <dc:description/>
  <dc:language>en-US</dc:language>
  <cp:lastModifiedBy/>
  <dcterms:modified xsi:type="dcterms:W3CDTF">2026-04-01T22:07:16Z</dcterms:modified>
  <cp:revision>2</cp:revision>
  <dc:subject/>
  <dc:title/>
</cp:coreProperties>
</file>