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sz w:val="52"/>
          <w:szCs w:val="52"/>
        </w:rPr>
        <w:t xml:space="preserve">System Requirements Specification</w:t>
      </w:r>
    </w:p>
    <w:p>
      <w:pPr>
        <w:spacing w:after="240"/>
        <w:jc w:val="center"/>
      </w:pPr>
      <w:r>
        <w:rPr>
          <w:rFonts w:ascii="Calibri" w:cs="Calibri" w:eastAsia="Calibri" w:hAnsi="Calibri"/>
          <w:sz w:val="32"/>
          <w:szCs w:val="32"/>
        </w:rPr>
        <w:t xml:space="preserve">AI Tenant Agent &amp; Operations System for Dona Dom</w:t>
      </w:r>
    </w:p>
    <w:p>
      <w:pPr>
        <w:spacing w:after="480"/>
        <w:jc w:val="center"/>
      </w:pPr>
      <w:r>
        <w:rPr>
          <w:rFonts w:ascii="Calibri" w:cs="Calibri" w:eastAsia="Calibri" w:hAnsi="Calibri"/>
          <w:i/>
          <w:iCs/>
          <w:sz w:val="24"/>
          <w:szCs w:val="24"/>
        </w:rPr>
        <w:t xml:space="preserve">Phase A (Pilot) Requirements and Full Rollout Plan</w:t>
      </w:r>
    </w:p>
    <w:p>
      <w:pPr>
        <w:spacing w:after="120"/>
        <w:jc w:val="center"/>
      </w:pPr>
      <w:r>
        <w:rPr>
          <w:rFonts w:ascii="Calibri" w:cs="Calibri" w:eastAsia="Calibri" w:hAnsi="Calibri"/>
          <w:color w:val="666666"/>
          <w:sz w:val="22"/>
          <w:szCs w:val="22"/>
        </w:rPr>
        <w:t xml:space="preserve">Version 0.1 (Draft for review)  ·  18 August 2026</w:t>
      </w:r>
    </w:p>
    <w:p>
      <w:pPr>
        <w:jc w:val="center"/>
      </w:pPr>
      <w:r>
        <w:rPr>
          <w:rFonts w:ascii="Calibri" w:cs="Calibri" w:eastAsia="Calibri" w:hAnsi="Calibri"/>
          <w:color w:val="666666"/>
          <w:sz w:val="18"/>
          <w:szCs w:val="18"/>
        </w:rPr>
        <w:t xml:space="preserve">Supersedes: "Development Specification Document — AI-Based Smart Agent (MVP – Phase A)" as the working requirements baseline. Commercial and intellectual-property terms are out of scope of this document.</w:t>
      </w:r>
    </w:p>
    <w:p>
      <w:r>
        <w:br w:type="page"/>
      </w:r>
    </w:p>
    <w:p>
      <w:pPr>
        <w:pStyle w:val="Heading1"/>
        <w:spacing w:after="200" w:before="360"/>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t xml:space="preserve">1. Executive Summary</w:t>
      </w:r>
    </w:p>
    <w:p>
      <w:pPr>
        <w:spacing w:after="160" w:line="276"/>
      </w:pPr>
      <w:r>
        <w:rPr>
          <w:rFonts w:ascii="Calibri" w:cs="Calibri" w:eastAsia="Calibri" w:hAnsi="Calibri"/>
          <w:sz w:val="22"/>
          <w:szCs w:val="22"/>
        </w:rPr>
        <w:t xml:space="preserve">Dona Dom operates residential rental buildings whose tenants generate a high volume of repetitive contact: questions about their lease, reports of faults (air conditioning, water heaters and similar), requests for invoices and balances, and status chasing. Today all of it lands on office staff.</w:t>
      </w:r>
    </w:p>
    <w:p>
      <w:pPr>
        <w:spacing w:after="160" w:line="276"/>
      </w:pPr>
      <w:r>
        <w:rPr>
          <w:rFonts w:ascii="Calibri" w:cs="Calibri" w:eastAsia="Calibri" w:hAnsi="Calibri"/>
          <w:sz w:val="22"/>
          <w:szCs w:val="22"/>
        </w:rPr>
        <w:t xml:space="preserve">This document specifies a system in which an AI agent, reachable over </w:t>
      </w:r>
      <w:r>
        <w:rPr>
          <w:rFonts w:ascii="Calibri" w:cs="Calibri" w:eastAsia="Calibri" w:hAnsi="Calibri"/>
          <w:b/>
          <w:bCs/>
          <w:sz w:val="22"/>
          <w:szCs w:val="22"/>
        </w:rPr>
        <w:t xml:space="preserve">WhatsApp and a web chat widget</w:t>
      </w:r>
      <w:r>
        <w:rPr>
          <w:rFonts w:ascii="Calibri" w:cs="Calibri" w:eastAsia="Calibri" w:hAnsi="Calibri"/>
          <w:sz w:val="22"/>
          <w:szCs w:val="22"/>
        </w:rPr>
        <w:t xml:space="preserve">, resolves routine tenant matters end to end — grounded strictly in each tenant’s own lease and in company policy — while an </w:t>
      </w:r>
      <w:r>
        <w:rPr>
          <w:rFonts w:ascii="Calibri" w:cs="Calibri" w:eastAsia="Calibri" w:hAnsi="Calibri"/>
          <w:b/>
          <w:bCs/>
          <w:sz w:val="22"/>
          <w:szCs w:val="22"/>
        </w:rPr>
        <w:t xml:space="preserve">operations console</w:t>
      </w:r>
      <w:r>
        <w:rPr>
          <w:rFonts w:ascii="Calibri" w:cs="Calibri" w:eastAsia="Calibri" w:hAnsi="Calibri"/>
          <w:sz w:val="22"/>
          <w:szCs w:val="22"/>
        </w:rPr>
        <w:t xml:space="preserve"> gives Dona Dom staff a single queue, full audit trail, and control over every exception. The office handles exceptions; the system handles the routine.</w:t>
      </w:r>
    </w:p>
    <w:p>
      <w:pPr>
        <w:spacing w:after="160" w:line="276"/>
      </w:pPr>
      <w:r>
        <w:rPr>
          <w:rFonts w:ascii="Calibri" w:cs="Calibri" w:eastAsia="Calibri" w:hAnsi="Calibri"/>
          <w:sz w:val="22"/>
          <w:szCs w:val="22"/>
        </w:rPr>
        <w:t xml:space="preserve">The guiding problem statement: </w:t>
      </w:r>
      <w:r>
        <w:rPr>
          <w:rFonts w:ascii="Calibri" w:cs="Calibri" w:eastAsia="Calibri" w:hAnsi="Calibri"/>
          <w:i/>
          <w:iCs/>
          <w:sz w:val="22"/>
          <w:szCs w:val="22"/>
        </w:rPr>
        <w:t xml:space="preserve">how might we let Dona Dom’s tenants resolve lease, payment, and maintenance issues themselves — in their own language, grounded in their own contract — so the office only touches exceptions?</w:t>
      </w:r>
    </w:p>
    <w:p>
      <w:pPr>
        <w:spacing w:after="160" w:line="276"/>
      </w:pPr>
      <w:r>
        <w:rPr>
          <w:rFonts w:ascii="Calibri" w:cs="Calibri" w:eastAsia="Calibri" w:hAnsi="Calibri"/>
          <w:sz w:val="22"/>
          <w:szCs w:val="22"/>
        </w:rPr>
        <w:t xml:space="preserve">Phase A (the pilot) delivers three capability clusters on 1–2 buildings: </w:t>
      </w:r>
      <w:r>
        <w:rPr>
          <w:rFonts w:ascii="Calibri" w:cs="Calibri" w:eastAsia="Calibri" w:hAnsi="Calibri"/>
          <w:b/>
          <w:bCs/>
          <w:sz w:val="22"/>
          <w:szCs w:val="22"/>
        </w:rPr>
        <w:t xml:space="preserve">(1)</w:t>
      </w:r>
      <w:r>
        <w:rPr>
          <w:rFonts w:ascii="Calibri" w:cs="Calibri" w:eastAsia="Calibri" w:hAnsi="Calibri"/>
          <w:sz w:val="22"/>
          <w:szCs w:val="22"/>
        </w:rPr>
        <w:t xml:space="preserve"> verified, lease-grounded question answering; </w:t>
      </w:r>
      <w:r>
        <w:rPr>
          <w:rFonts w:ascii="Calibri" w:cs="Calibri" w:eastAsia="Calibri" w:hAnsi="Calibri"/>
          <w:b/>
          <w:bCs/>
          <w:sz w:val="22"/>
          <w:szCs w:val="22"/>
        </w:rPr>
        <w:t xml:space="preserve">(2)</w:t>
      </w:r>
      <w:r>
        <w:rPr>
          <w:rFonts w:ascii="Calibri" w:cs="Calibri" w:eastAsia="Calibri" w:hAnsi="Calibri"/>
          <w:sz w:val="22"/>
          <w:szCs w:val="22"/>
        </w:rPr>
        <w:t xml:space="preserve"> guided fault handling through to a scheduled technician visit and sign-off; </w:t>
      </w:r>
      <w:r>
        <w:rPr>
          <w:rFonts w:ascii="Calibri" w:cs="Calibri" w:eastAsia="Calibri" w:hAnsi="Calibri"/>
          <w:b/>
          <w:bCs/>
          <w:sz w:val="22"/>
          <w:szCs w:val="22"/>
        </w:rPr>
        <w:t xml:space="preserve">(3)</w:t>
      </w:r>
      <w:r>
        <w:rPr>
          <w:rFonts w:ascii="Calibri" w:cs="Calibri" w:eastAsia="Calibri" w:hAnsi="Calibri"/>
          <w:sz w:val="22"/>
          <w:szCs w:val="22"/>
        </w:rPr>
        <w:t xml:space="preserve"> the staff operations console, built to the patterns proven by the leading platforms in this market (single intake queue, SLA timers, complete audit trail). Finance self-service (the “Ziv” system), additional languages, move-in/utility workflows, voice, and the supplier portal follow in later phases, in that order.</w:t>
      </w:r>
    </w:p>
    <w:p>
      <w:pPr>
        <w:spacing w:after="160" w:line="276"/>
      </w:pPr>
      <w:r>
        <w:rPr>
          <w:rFonts w:ascii="Calibri" w:cs="Calibri" w:eastAsia="Calibri" w:hAnsi="Calibri"/>
          <w:b/>
          <w:bCs/>
          <w:sz w:val="22"/>
          <w:szCs w:val="22"/>
        </w:rPr>
        <w:t xml:space="preserve">Success for the pilot is deflection: </w:t>
      </w:r>
      <w:r>
        <w:rPr>
          <w:rFonts w:ascii="Calibri" w:cs="Calibri" w:eastAsia="Calibri" w:hAnsi="Calibri"/>
          <w:sz w:val="22"/>
          <w:szCs w:val="22"/>
        </w:rPr>
        <w:t xml:space="preserve">a majority of routine inquiries on the pilot buildings resolved end to end with zero staff touches, with zero incidents of one tenant seeing another tenant’s information.</w:t>
      </w:r>
    </w:p>
    <w:p>
      <w:pPr>
        <w:pStyle w:val="Heading1"/>
        <w:spacing w:after="200" w:before="360"/>
      </w:pPr>
      <w:r>
        <w:t xml:space="preserve">2. Background and Problem Statement</w:t>
      </w:r>
    </w:p>
    <w:p>
      <w:pPr>
        <w:spacing w:after="160" w:line="276"/>
      </w:pPr>
      <w:r>
        <w:rPr>
          <w:rFonts w:ascii="Calibri" w:cs="Calibri" w:eastAsia="Calibri" w:hAnsi="Calibri"/>
          <w:sz w:val="22"/>
          <w:szCs w:val="22"/>
        </w:rPr>
        <w:t xml:space="preserve">Dona Dom’s original requirements document (the "Source Document") describes a smart voice and text agent for tenants: identity verification, answers drawn from the tenant’s own lease agreement, handling of urgent faults with technician scheduling, retrieval of financial data from the "Ziv" accounting system, full call documentation, smart routing of inquiries to departments, and a management dashboard. Later sections add move-in utility-transfer tracking, field handover protocols, image-based fault diagnosis, automatic work tenders to suppliers, and a supplier portal.</w:t>
      </w:r>
    </w:p>
    <w:p>
      <w:pPr>
        <w:spacing w:after="160" w:line="276"/>
      </w:pPr>
      <w:r>
        <w:rPr>
          <w:rFonts w:ascii="Calibri" w:cs="Calibri" w:eastAsia="Calibri" w:hAnsi="Calibri"/>
          <w:sz w:val="22"/>
          <w:szCs w:val="22"/>
        </w:rPr>
        <w:t xml:space="preserve">This specification preserves the intent of the Source Document while restructuring it into an engineerable, phased system. Where this document and the Source Document differ, the difference is deliberate and the rationale is stated (see Sections 10–12). Two examples: real-time voice is deferred in favour of the two channels tenants already use daily; and the identity-verification method is strengthened relative to the Source Document (Appendix C).</w:t>
      </w:r>
    </w:p>
    <w:p>
      <w:pPr>
        <w:pStyle w:val="Heading2"/>
        <w:spacing w:after="160" w:before="280"/>
      </w:pPr>
      <w:r>
        <w:t xml:space="preserve">2.1 Why now, and why this shape</w:t>
      </w:r>
    </w:p>
    <w:p>
      <w:pPr>
        <w:pStyle w:val="ListParagraph"/>
        <w:numPr>
          <w:ilvl w:val="0"/>
          <w:numId w:val="2"/>
        </w:numPr>
        <w:spacing w:after="100" w:line="276"/>
      </w:pPr>
      <w:r>
        <w:rPr>
          <w:rFonts w:ascii="Calibri" w:cs="Calibri" w:eastAsia="Calibri" w:hAnsi="Calibri"/>
          <w:sz w:val="22"/>
          <w:szCs w:val="22"/>
        </w:rPr>
        <w:t xml:space="preserve">Tenant expectations have moved: instant, 24/7 answers on the channel already on their phone. In Israel, that channel is WhatsApp.</w:t>
      </w:r>
    </w:p>
    <w:p>
      <w:pPr>
        <w:pStyle w:val="ListParagraph"/>
        <w:numPr>
          <w:ilvl w:val="0"/>
          <w:numId w:val="2"/>
        </w:numPr>
        <w:spacing w:after="100" w:line="276"/>
      </w:pPr>
      <w:r>
        <w:rPr>
          <w:rFonts w:ascii="Calibri" w:cs="Calibri" w:eastAsia="Calibri" w:hAnsi="Calibri"/>
          <w:sz w:val="22"/>
          <w:szCs w:val="22"/>
        </w:rPr>
        <w:t xml:space="preserve">The underlying techniques are proven at scale by comparable platforms abroad (Appendix B): lease-grounded answering with clause citation, self-service troubleshooting before dispatch, first-accept vendor offers, proactive status updates.</w:t>
      </w:r>
    </w:p>
    <w:p>
      <w:pPr>
        <w:pStyle w:val="ListParagraph"/>
        <w:numPr>
          <w:ilvl w:val="0"/>
          <w:numId w:val="2"/>
        </w:numPr>
        <w:spacing w:after="100" w:line="276"/>
      </w:pPr>
      <w:r>
        <w:rPr>
          <w:rFonts w:ascii="Calibri" w:cs="Calibri" w:eastAsia="Calibri" w:hAnsi="Calibri"/>
          <w:sz w:val="22"/>
          <w:szCs w:val="22"/>
        </w:rPr>
        <w:t xml:space="preserve">No existing product serves this combination — WhatsApp-first, Hebrew, single-operator, grounded in individual lease contracts. Off-the-shelf tools do not fit; a focused build does.</w:t>
      </w:r>
    </w:p>
    <w:p>
      <w:pPr>
        <w:pStyle w:val="Heading1"/>
        <w:spacing w:after="200" w:before="360"/>
      </w:pPr>
      <w:r>
        <w:t xml:space="preserve">3. Recommended Direction</w:t>
      </w:r>
    </w:p>
    <w:p>
      <w:pPr>
        <w:spacing w:after="160" w:line="276"/>
      </w:pPr>
      <w:r>
        <w:rPr>
          <w:rFonts w:ascii="Calibri" w:cs="Calibri" w:eastAsia="Calibri" w:hAnsi="Calibri"/>
          <w:sz w:val="22"/>
          <w:szCs w:val="22"/>
        </w:rPr>
        <w:t xml:space="preserve">Of the directions considered (build the Source Document literally; build an operations system with an agent front end; build the same as a multi-operator platform), this specification commits to: </w:t>
      </w:r>
      <w:r>
        <w:rPr>
          <w:rFonts w:ascii="Calibri" w:cs="Calibri" w:eastAsia="Calibri" w:hAnsi="Calibri"/>
          <w:b/>
          <w:bCs/>
          <w:sz w:val="22"/>
          <w:szCs w:val="22"/>
        </w:rPr>
        <w:t xml:space="preserve">an operations system of record with an AI agent front end.</w:t>
      </w:r>
    </w:p>
    <w:p>
      <w:pPr>
        <w:pStyle w:val="ListParagraph"/>
        <w:numPr>
          <w:ilvl w:val="0"/>
          <w:numId w:val="2"/>
        </w:numPr>
        <w:spacing w:after="100" w:line="276"/>
      </w:pPr>
      <w:r>
        <w:rPr>
          <w:rFonts w:ascii="Calibri" w:cs="Calibri" w:eastAsia="Calibri" w:hAnsi="Calibri"/>
          <w:b/>
          <w:bCs/>
          <w:sz w:val="22"/>
          <w:szCs w:val="22"/>
        </w:rPr>
        <w:t xml:space="preserve">The system is the source of truth</w:t>
      </w:r>
      <w:r>
        <w:rPr>
          <w:rFonts w:ascii="Calibri" w:cs="Calibri" w:eastAsia="Calibri" w:hAnsi="Calibri"/>
          <w:sz w:val="22"/>
          <w:szCs w:val="22"/>
        </w:rPr>
        <w:t xml:space="preserve"> for cases, jobs, scheduling, and fulfilment. It does not delegate its core records to third-party tools.</w:t>
      </w:r>
    </w:p>
    <w:p>
      <w:pPr>
        <w:pStyle w:val="ListParagraph"/>
        <w:numPr>
          <w:ilvl w:val="0"/>
          <w:numId w:val="2"/>
        </w:numPr>
        <w:spacing w:after="100" w:line="276"/>
      </w:pPr>
      <w:r>
        <w:rPr>
          <w:rFonts w:ascii="Calibri" w:cs="Calibri" w:eastAsia="Calibri" w:hAnsi="Calibri"/>
          <w:b/>
          <w:bCs/>
          <w:sz w:val="22"/>
          <w:szCs w:val="22"/>
        </w:rPr>
        <w:t xml:space="preserve">The agent is a client of the system</w:t>
      </w:r>
      <w:r>
        <w:rPr>
          <w:rFonts w:ascii="Calibri" w:cs="Calibri" w:eastAsia="Calibri" w:hAnsi="Calibri"/>
          <w:sz w:val="22"/>
          <w:szCs w:val="22"/>
        </w:rPr>
        <w:t xml:space="preserve">, not a second brain. It may act only through the system’s documented commands; every action is audited. Swapping or adding a channel (e.g. voice later) never changes business logic.</w:t>
      </w:r>
    </w:p>
    <w:p>
      <w:pPr>
        <w:pStyle w:val="ListParagraph"/>
        <w:numPr>
          <w:ilvl w:val="0"/>
          <w:numId w:val="2"/>
        </w:numPr>
        <w:spacing w:after="100" w:line="276"/>
      </w:pPr>
      <w:r>
        <w:rPr>
          <w:rFonts w:ascii="Calibri" w:cs="Calibri" w:eastAsia="Calibri" w:hAnsi="Calibri"/>
          <w:b/>
          <w:bCs/>
          <w:sz w:val="22"/>
          <w:szCs w:val="22"/>
        </w:rPr>
        <w:t xml:space="preserve">Existing tools are mirrored, not replaced</w:t>
      </w:r>
      <w:r>
        <w:rPr>
          <w:rFonts w:ascii="Calibri" w:cs="Calibri" w:eastAsia="Calibri" w:hAnsi="Calibri"/>
          <w:sz w:val="22"/>
          <w:szCs w:val="22"/>
        </w:rPr>
        <w:t xml:space="preserve">: case summaries and records are pushed to Salesforce, and technician availability is synchronised with Calendly, so Dona Dom’s current workflows keep functioning. Neither tool becomes the system of record. (Decision gate: confirm both are in active daily use — Section 10.)</w:t>
      </w:r>
    </w:p>
    <w:p>
      <w:pPr>
        <w:pStyle w:val="ListParagraph"/>
        <w:numPr>
          <w:ilvl w:val="0"/>
          <w:numId w:val="2"/>
        </w:numPr>
        <w:spacing w:after="100" w:line="276"/>
      </w:pPr>
      <w:r>
        <w:rPr>
          <w:rFonts w:ascii="Calibri" w:cs="Calibri" w:eastAsia="Calibri" w:hAnsi="Calibri"/>
          <w:b/>
          <w:bCs/>
          <w:sz w:val="22"/>
          <w:szCs w:val="22"/>
        </w:rPr>
        <w:t xml:space="preserve">The office handles exceptions only</w:t>
      </w:r>
      <w:r>
        <w:rPr>
          <w:rFonts w:ascii="Calibri" w:cs="Calibri" w:eastAsia="Calibri" w:hAnsi="Calibri"/>
          <w:sz w:val="22"/>
          <w:szCs w:val="22"/>
        </w:rPr>
        <w:t xml:space="preserve">: anything the agent cannot resolve with confidence becomes a routed, prioritised item in the staff queue with full context attached — never a dead end for the tenant.</w:t>
      </w:r>
    </w:p>
    <w:p>
      <w:pPr>
        <w:spacing w:after="160" w:line="276"/>
      </w:pPr>
      <w:r>
        <w:rPr>
          <w:rFonts w:ascii="Calibri" w:cs="Calibri" w:eastAsia="Calibri" w:hAnsi="Calibri"/>
          <w:sz w:val="22"/>
          <w:szCs w:val="22"/>
        </w:rPr>
        <w:t xml:space="preserve">An existing internal reference implementation ("dona-v2") has validated the module boundaries, the lease-then-policy answer ranking, and the first-accept dispatch pattern this specification adopts. It serves as architectural reference only; this document is the authoritative statement of requirements.</w:t>
      </w:r>
    </w:p>
    <w:p>
      <w:pPr>
        <w:pStyle w:val="Heading1"/>
        <w:spacing w:after="200" w:before="360"/>
      </w:pPr>
      <w:r>
        <w:t xml:space="preserve">4. Users and Success Criteria</w:t>
      </w:r>
    </w:p>
    <w:p>
      <w:pPr>
        <w:pStyle w:val="Heading2"/>
        <w:spacing w:after="160" w:before="280"/>
      </w:pPr>
      <w:r>
        <w:t xml:space="preserve">4.1 Users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rPr>
          <w:tblHeader/>
        </w:trPr>
        <w:tc>
          <w:tcPr>
            <w:tcW w:type="dxa" w:w="2200"/>
            <w:shd w:fill="E8E1D6" w:color="auto" w:val="clear"/>
            <w:tcMar>
              <w:top w:type="dxa" w:w="80"/>
              <w:left w:type="dxa" w:w="120"/>
              <w:bottom w:type="dxa" w:w="80"/>
              <w:right w:type="dxa" w:w="120"/>
            </w:tcMar>
          </w:tcPr>
          <w:p>
            <w:pPr>
              <w:spacing w:after="40"/>
            </w:pPr>
            <w:r>
              <w:rPr>
                <w:rFonts w:ascii="Calibri" w:cs="Calibri" w:eastAsia="Calibri" w:hAnsi="Calibri"/>
                <w:b/>
                <w:bCs/>
                <w:sz w:val="20"/>
                <w:szCs w:val="20"/>
              </w:rPr>
              <w:t xml:space="preserve">User</w:t>
            </w:r>
          </w:p>
        </w:tc>
        <w:tc>
          <w:tcPr>
            <w:tcW w:type="dxa" w:w="7000"/>
            <w:shd w:fill="E8E1D6" w:color="auto" w:val="clear"/>
            <w:tcMar>
              <w:top w:type="dxa" w:w="80"/>
              <w:left w:type="dxa" w:w="120"/>
              <w:bottom w:type="dxa" w:w="80"/>
              <w:right w:type="dxa" w:w="120"/>
            </w:tcMar>
          </w:tcPr>
          <w:p>
            <w:pPr>
              <w:spacing w:after="40"/>
            </w:pPr>
            <w:r>
              <w:rPr>
                <w:rFonts w:ascii="Calibri" w:cs="Calibri" w:eastAsia="Calibri" w:hAnsi="Calibri"/>
                <w:b/>
                <w:bCs/>
                <w:sz w:val="20"/>
                <w:szCs w:val="20"/>
              </w:rPr>
              <w:t xml:space="preserve">What they need</w:t>
            </w:r>
          </w:p>
        </w:tc>
      </w:tr>
      <w:tr>
        <w:tc>
          <w:tcPr>
            <w:tcW w:type="dxa" w:w="22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Tenants</w:t>
            </w:r>
          </w:p>
        </w:tc>
        <w:tc>
          <w:tcPr>
            <w:tcW w:type="dxa" w:w="70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Instant answers about their own lease and account; a fault reported once and fixed without chasing; their language; certainty that their data is private.</w:t>
            </w:r>
          </w:p>
        </w:tc>
      </w:tr>
      <w:tr>
        <w:tc>
          <w:tcPr>
            <w:tcW w:type="dxa" w:w="22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Office staff</w:t>
            </w:r>
          </w:p>
        </w:tc>
        <w:tc>
          <w:tcPr>
            <w:tcW w:type="dxa" w:w="70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One queue of exceptions with full context; confidence the agent never invents answers; visibility into every conversation and action.</w:t>
            </w:r>
          </w:p>
        </w:tc>
      </w:tr>
      <w:tr>
        <w:tc>
          <w:tcPr>
            <w:tcW w:type="dxa" w:w="22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Field / works managers</w:t>
            </w:r>
          </w:p>
        </w:tc>
        <w:tc>
          <w:tcPr>
            <w:tcW w:type="dxa" w:w="70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Scheduled visits with the diagnosis, photos, and access notes attached; sign-off captured on site.</w:t>
            </w:r>
          </w:p>
        </w:tc>
      </w:tr>
      <w:tr>
        <w:tc>
          <w:tcPr>
            <w:tcW w:type="dxa" w:w="22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Technicians / suppliers</w:t>
            </w:r>
          </w:p>
        </w:tc>
        <w:tc>
          <w:tcPr>
            <w:tcW w:type="dxa" w:w="70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Clear job offers (issue, window, address), one-tap accept, calendar entry created for them.</w:t>
            </w:r>
          </w:p>
        </w:tc>
      </w:tr>
      <w:tr>
        <w:tc>
          <w:tcPr>
            <w:tcW w:type="dxa" w:w="22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Management (Dona Dom)</w:t>
            </w:r>
          </w:p>
        </w:tc>
        <w:tc>
          <w:tcPr>
            <w:tcW w:type="dxa" w:w="70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Deflection and response-time analytics; audit trail; assurance of data isolation and portability.</w:t>
            </w:r>
          </w:p>
        </w:tc>
      </w:tr>
    </w:tbl>
    <w:p>
      <w:pPr>
        <w:spacing w:after="120"/>
      </w:pPr>
      <w:r>
        <w:rPr>
          <w:rFonts w:ascii="Calibri" w:cs="Calibri" w:eastAsia="Calibri" w:hAnsi="Calibri"/>
          <w:sz w:val="22"/>
          <w:szCs w:val="22"/>
        </w:rPr>
        <w:t xml:space="preserve"/>
      </w:r>
    </w:p>
    <w:p>
      <w:pPr>
        <w:pStyle w:val="Heading2"/>
        <w:spacing w:after="160" w:before="280"/>
      </w:pPr>
      <w:r>
        <w:t xml:space="preserve">4.2 Pilot success criteria (Phase A exit)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0"/>
        <w:gridCol w:w="4000"/>
      </w:tblGrid>
      <w:tr>
        <w:trPr>
          <w:tblHeader/>
        </w:trPr>
        <w:tc>
          <w:tcPr>
            <w:tcW w:type="dxa" w:w="5200"/>
            <w:shd w:fill="E8E1D6" w:color="auto" w:val="clear"/>
            <w:tcMar>
              <w:top w:type="dxa" w:w="80"/>
              <w:left w:type="dxa" w:w="120"/>
              <w:bottom w:type="dxa" w:w="80"/>
              <w:right w:type="dxa" w:w="120"/>
            </w:tcMar>
          </w:tcPr>
          <w:p>
            <w:pPr>
              <w:spacing w:after="40"/>
            </w:pPr>
            <w:r>
              <w:rPr>
                <w:rFonts w:ascii="Calibri" w:cs="Calibri" w:eastAsia="Calibri" w:hAnsi="Calibri"/>
                <w:b/>
                <w:bCs/>
                <w:sz w:val="20"/>
                <w:szCs w:val="20"/>
              </w:rPr>
              <w:t xml:space="preserve">Criterion</w:t>
            </w:r>
          </w:p>
        </w:tc>
        <w:tc>
          <w:tcPr>
            <w:tcW w:type="dxa" w:w="4000"/>
            <w:shd w:fill="E8E1D6" w:color="auto" w:val="clear"/>
            <w:tcMar>
              <w:top w:type="dxa" w:w="80"/>
              <w:left w:type="dxa" w:w="120"/>
              <w:bottom w:type="dxa" w:w="80"/>
              <w:right w:type="dxa" w:w="120"/>
            </w:tcMar>
          </w:tcPr>
          <w:p>
            <w:pPr>
              <w:spacing w:after="40"/>
            </w:pPr>
            <w:r>
              <w:rPr>
                <w:rFonts w:ascii="Calibri" w:cs="Calibri" w:eastAsia="Calibri" w:hAnsi="Calibri"/>
                <w:b/>
                <w:bCs/>
                <w:sz w:val="20"/>
                <w:szCs w:val="20"/>
              </w:rPr>
              <w:t xml:space="preserve">Target</w:t>
            </w:r>
          </w:p>
        </w:tc>
      </w:tr>
      <w:tr>
        <w:tc>
          <w:tcPr>
            <w:tcW w:type="dxa" w:w="52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Routine inquiries resolved end-to-end with zero staff touches</w:t>
            </w:r>
          </w:p>
        </w:tc>
        <w:tc>
          <w:tcPr>
            <w:tcW w:type="dxa" w:w="40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 60% on pilot buildings (industry benchmark for routine deflection: 60–80%)</w:t>
            </w:r>
          </w:p>
        </w:tc>
      </w:tr>
      <w:tr>
        <w:tc>
          <w:tcPr>
            <w:tcW w:type="dxa" w:w="52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Cross-tenant information disclosure incidents</w:t>
            </w:r>
          </w:p>
        </w:tc>
        <w:tc>
          <w:tcPr>
            <w:tcW w:type="dxa" w:w="40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0 (absolute)</w:t>
            </w:r>
          </w:p>
        </w:tc>
      </w:tr>
      <w:tr>
        <w:tc>
          <w:tcPr>
            <w:tcW w:type="dxa" w:w="52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Lease answers carrying a verifiable clause citation</w:t>
            </w:r>
          </w:p>
        </w:tc>
        <w:tc>
          <w:tcPr>
            <w:tcW w:type="dxa" w:w="40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100% of lease-grounded answers</w:t>
            </w:r>
          </w:p>
        </w:tc>
      </w:tr>
      <w:tr>
        <w:tc>
          <w:tcPr>
            <w:tcW w:type="dxa" w:w="52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Median first response to a tenant message</w:t>
            </w:r>
          </w:p>
        </w:tc>
        <w:tc>
          <w:tcPr>
            <w:tcW w:type="dxa" w:w="40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 5 seconds (text)</w:t>
            </w:r>
          </w:p>
        </w:tc>
      </w:tr>
      <w:tr>
        <w:tc>
          <w:tcPr>
            <w:tcW w:type="dxa" w:w="52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Fault → scheduled technician without staff involvement</w:t>
            </w:r>
          </w:p>
        </w:tc>
        <w:tc>
          <w:tcPr>
            <w:tcW w:type="dxa" w:w="40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Demonstrated repeatedly on real cases, incl. deductible consent</w:t>
            </w:r>
          </w:p>
        </w:tc>
      </w:tr>
      <w:tr>
        <w:tc>
          <w:tcPr>
            <w:tcW w:type="dxa" w:w="52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Unresolved matters reaching the staff queue with full context</w:t>
            </w:r>
          </w:p>
        </w:tc>
        <w:tc>
          <w:tcPr>
            <w:tcW w:type="dxa" w:w="40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100% (no dead ends)</w:t>
            </w:r>
          </w:p>
        </w:tc>
      </w:tr>
      <w:tr>
        <w:tc>
          <w:tcPr>
            <w:tcW w:type="dxa" w:w="52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Tenant opt-out / escalation to human on request</w:t>
            </w:r>
          </w:p>
        </w:tc>
        <w:tc>
          <w:tcPr>
            <w:tcW w:type="dxa" w:w="40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Always honoured, one step</w:t>
            </w:r>
          </w:p>
        </w:tc>
      </w:tr>
    </w:tbl>
    <w:p>
      <w:r>
        <w:br w:type="page"/>
      </w:r>
    </w:p>
    <w:p>
      <w:pPr>
        <w:pStyle w:val="Heading1"/>
        <w:spacing w:after="200" w:before="360"/>
      </w:pPr>
      <w:r>
        <w:t xml:space="preserve">5. Scope Overview and Phasing</w:t>
      </w:r>
    </w:p>
    <w:p>
      <w:pPr>
        <w:spacing w:after="160" w:line="276"/>
      </w:pPr>
      <w:r>
        <w:rPr>
          <w:rFonts w:ascii="Calibri" w:cs="Calibri" w:eastAsia="Calibri" w:hAnsi="Calibri"/>
          <w:sz w:val="22"/>
          <w:szCs w:val="22"/>
        </w:rPr>
        <w:t xml:space="preserve">Scope is delivered in phases. A phase ships only when its exit criteria are met. Phase boundaries are requirement boundaries: nothing in a later phase blocks a Phase A ship.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4600"/>
      </w:tblGrid>
      <w:tr>
        <w:trPr>
          <w:tblHeader/>
        </w:trPr>
        <w:tc>
          <w:tcPr>
            <w:tcW w:type="dxa" w:w="1300"/>
            <w:shd w:fill="E8E1D6" w:color="auto" w:val="clear"/>
            <w:tcMar>
              <w:top w:type="dxa" w:w="80"/>
              <w:left w:type="dxa" w:w="120"/>
              <w:bottom w:type="dxa" w:w="80"/>
              <w:right w:type="dxa" w:w="120"/>
            </w:tcMar>
          </w:tcPr>
          <w:p>
            <w:pPr>
              <w:spacing w:after="40"/>
            </w:pPr>
            <w:r>
              <w:rPr>
                <w:rFonts w:ascii="Calibri" w:cs="Calibri" w:eastAsia="Calibri" w:hAnsi="Calibri"/>
                <w:b/>
                <w:bCs/>
                <w:sz w:val="20"/>
                <w:szCs w:val="20"/>
              </w:rPr>
              <w:t xml:space="preserve">Phase</w:t>
            </w:r>
          </w:p>
        </w:tc>
        <w:tc>
          <w:tcPr>
            <w:tcW w:type="dxa" w:w="3300"/>
            <w:shd w:fill="E8E1D6" w:color="auto" w:val="clear"/>
            <w:tcMar>
              <w:top w:type="dxa" w:w="80"/>
              <w:left w:type="dxa" w:w="120"/>
              <w:bottom w:type="dxa" w:w="80"/>
              <w:right w:type="dxa" w:w="120"/>
            </w:tcMar>
          </w:tcPr>
          <w:p>
            <w:pPr>
              <w:spacing w:after="40"/>
            </w:pPr>
            <w:r>
              <w:rPr>
                <w:rFonts w:ascii="Calibri" w:cs="Calibri" w:eastAsia="Calibri" w:hAnsi="Calibri"/>
                <w:b/>
                <w:bCs/>
                <w:sz w:val="20"/>
                <w:szCs w:val="20"/>
              </w:rPr>
              <w:t xml:space="preserve">Name</w:t>
            </w:r>
          </w:p>
        </w:tc>
        <w:tc>
          <w:tcPr>
            <w:tcW w:type="dxa" w:w="4600"/>
            <w:shd w:fill="E8E1D6" w:color="auto" w:val="clear"/>
            <w:tcMar>
              <w:top w:type="dxa" w:w="80"/>
              <w:left w:type="dxa" w:w="120"/>
              <w:bottom w:type="dxa" w:w="80"/>
              <w:right w:type="dxa" w:w="120"/>
            </w:tcMar>
          </w:tcPr>
          <w:p>
            <w:pPr>
              <w:spacing w:after="40"/>
            </w:pPr>
            <w:r>
              <w:rPr>
                <w:rFonts w:ascii="Calibri" w:cs="Calibri" w:eastAsia="Calibri" w:hAnsi="Calibri"/>
                <w:b/>
                <w:bCs/>
                <w:sz w:val="20"/>
                <w:szCs w:val="20"/>
              </w:rPr>
              <w:t xml:space="preserve">Contents</w:t>
            </w:r>
          </w:p>
        </w:tc>
      </w:tr>
      <w:tr>
        <w:tc>
          <w:tcPr>
            <w:tcW w:type="dxa" w:w="13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0</w:t>
            </w:r>
          </w:p>
        </w:tc>
        <w:tc>
          <w:tcPr>
            <w:tcW w:type="dxa" w:w="33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Foundations &amp; data intake</w:t>
            </w:r>
          </w:p>
        </w:tc>
        <w:tc>
          <w:tcPr>
            <w:tcW w:type="dxa" w:w="46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Client inputs collected (Section 9); tenant registry loaded; leases ingested and indexed; environments and test harness stood up; go/no-go on data quality.</w:t>
            </w:r>
          </w:p>
        </w:tc>
      </w:tr>
      <w:tr>
        <w:tc>
          <w:tcPr>
            <w:tcW w:type="dxa" w:w="13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A</w:t>
            </w:r>
          </w:p>
        </w:tc>
        <w:tc>
          <w:tcPr>
            <w:tcW w:type="dxa" w:w="33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Pilot — the core loop</w:t>
            </w:r>
          </w:p>
        </w:tc>
        <w:tc>
          <w:tcPr>
            <w:tcW w:type="dxa" w:w="46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WhatsApp + web widget (Hebrew, English); fail-closed verification; lease-grounded Q&amp;A with clause citation; fault intake → self-service gate → diagnosis → deductible consent → technician offer/accept → visit → sign-off; proactive status updates; classification &amp; routed callback requests; operations console; Salesforce mirror + Calendly sync; audit, recording notice, PII-safe logging; data-export capability. Runs on 1–2 buildings.</w:t>
            </w:r>
          </w:p>
        </w:tc>
      </w:tr>
      <w:tr>
        <w:tc>
          <w:tcPr>
            <w:tcW w:type="dxa" w:w="13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B</w:t>
            </w:r>
          </w:p>
        </w:tc>
        <w:tc>
          <w:tcPr>
            <w:tcW w:type="dxa" w:w="33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Finance &amp; reach</w:t>
            </w:r>
          </w:p>
        </w:tc>
        <w:tc>
          <w:tcPr>
            <w:tcW w:type="dxa" w:w="46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Ziv integration (balances, invoices/receipts to tenant; finance data on console); Russian, French, Arabic; portfolio-wide rollout; SMS/OTP hardening extensions; document/image upload with OCR interpretation where not already delivered in A.</w:t>
            </w:r>
          </w:p>
        </w:tc>
      </w:tr>
      <w:tr>
        <w:tc>
          <w:tcPr>
            <w:tcW w:type="dxa" w:w="13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C</w:t>
            </w:r>
          </w:p>
        </w:tc>
        <w:tc>
          <w:tcPr>
            <w:tcW w:type="dxa" w:w="33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Move-in &amp; field ops</w:t>
            </w:r>
          </w:p>
        </w:tc>
        <w:tc>
          <w:tcPr>
            <w:tcW w:type="dxa" w:w="46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Utility account-transfer tracking with document collection and automatic reminders; digital handover / vacating / back-to-back protocols on mobile in the field.</w:t>
            </w:r>
          </w:p>
        </w:tc>
      </w:tr>
      <w:tr>
        <w:tc>
          <w:tcPr>
            <w:tcW w:type="dxa" w:w="13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D</w:t>
            </w:r>
          </w:p>
        </w:tc>
        <w:tc>
          <w:tcPr>
            <w:tcW w:type="dxa" w:w="33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Supplier ecosystem &amp; voice</w:t>
            </w:r>
          </w:p>
        </w:tc>
        <w:tc>
          <w:tcPr>
            <w:tcW w:type="dxa" w:w="46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Automatic tender generation and parallel distribution to authorised suppliers (first-accept); supplier portal (agreements, rates, price lists); real-time voice on the widget; telephone answering.</w:t>
            </w:r>
          </w:p>
        </w:tc>
      </w:tr>
    </w:tbl>
    <w:p>
      <w:pPr>
        <w:spacing w:after="120"/>
      </w:pPr>
      <w:r>
        <w:rPr>
          <w:rFonts w:ascii="Calibri" w:cs="Calibri" w:eastAsia="Calibri" w:hAnsi="Calibri"/>
          <w:sz w:val="22"/>
          <w:szCs w:val="22"/>
        </w:rPr>
        <w:t xml:space="preserve"/>
      </w:r>
    </w:p>
    <w:p>
      <w:pPr>
        <w:spacing w:after="160" w:line="276"/>
      </w:pPr>
      <w:r>
        <w:rPr>
          <w:rFonts w:ascii="Calibri" w:cs="Calibri" w:eastAsia="Calibri" w:hAnsi="Calibri"/>
          <w:b/>
          <w:bCs/>
          <w:sz w:val="22"/>
          <w:szCs w:val="22"/>
        </w:rPr>
        <w:t xml:space="preserve">Explicitly out of scope for Phase A: </w:t>
      </w:r>
      <w:r>
        <w:rPr>
          <w:rFonts w:ascii="Calibri" w:cs="Calibri" w:eastAsia="Calibri" w:hAnsi="Calibri"/>
          <w:sz w:val="22"/>
          <w:szCs w:val="22"/>
        </w:rPr>
        <w:t xml:space="preserve">real-time voice and telephony; languages beyond Hebrew and English; Ziv finance self-service; active payment collection of any kind; move-in/utility workflows; supplier portal and tenders; replacing Salesforce, Calendly, or Ziv; an open marketplace of unknown vendors. Rationale in Section 11.</w:t>
      </w:r>
    </w:p>
    <w:p>
      <w:r>
        <w:br w:type="page"/>
      </w:r>
    </w:p>
    <w:p>
      <w:pPr>
        <w:pStyle w:val="Heading1"/>
        <w:spacing w:after="200" w:before="360"/>
      </w:pPr>
      <w:r>
        <w:t xml:space="preserve">6. Functional Requirements — Phase A</w:t>
      </w:r>
    </w:p>
    <w:p>
      <w:pPr>
        <w:spacing w:after="160" w:line="276"/>
      </w:pPr>
      <w:r>
        <w:rPr>
          <w:rFonts w:ascii="Calibri" w:cs="Calibri" w:eastAsia="Calibri" w:hAnsi="Calibri"/>
          <w:sz w:val="22"/>
          <w:szCs w:val="22"/>
        </w:rPr>
        <w:t xml:space="preserve">Requirements are numbered for reference and acceptance. "Must" is binding for Phase A.</w:t>
      </w:r>
    </w:p>
    <w:p>
      <w:pPr>
        <w:pStyle w:val="Heading2"/>
        <w:spacing w:after="160" w:before="280"/>
      </w:pPr>
      <w:r>
        <w:t xml:space="preserve">6.1 Channels (CH)</w:t>
      </w:r>
    </w:p>
    <w:p>
      <w:pPr>
        <w:spacing w:after="160" w:line="276"/>
      </w:pPr>
      <w:r>
        <w:rPr>
          <w:rFonts w:ascii="Calibri" w:cs="Calibri" w:eastAsia="Calibri" w:hAnsi="Calibri"/>
          <w:b/>
          <w:bCs/>
          <w:sz w:val="22"/>
          <w:szCs w:val="22"/>
        </w:rPr>
        <w:t xml:space="preserve">CH-1. </w:t>
      </w:r>
      <w:r>
        <w:rPr>
          <w:rFonts w:ascii="Calibri" w:cs="Calibri" w:eastAsia="Calibri" w:hAnsi="Calibri"/>
          <w:sz w:val="22"/>
          <w:szCs w:val="22"/>
        </w:rPr>
        <w:t xml:space="preserve">The agent must be reachable as a WhatsApp conversation from the tenant’s registered phone number.</w:t>
      </w:r>
    </w:p>
    <w:p>
      <w:pPr>
        <w:spacing w:after="160" w:line="276"/>
      </w:pPr>
      <w:r>
        <w:rPr>
          <w:rFonts w:ascii="Calibri" w:cs="Calibri" w:eastAsia="Calibri" w:hAnsi="Calibri"/>
          <w:b/>
          <w:bCs/>
          <w:sz w:val="22"/>
          <w:szCs w:val="22"/>
        </w:rPr>
        <w:t xml:space="preserve">CH-2. </w:t>
      </w:r>
      <w:r>
        <w:rPr>
          <w:rFonts w:ascii="Calibri" w:cs="Calibri" w:eastAsia="Calibri" w:hAnsi="Calibri"/>
          <w:sz w:val="22"/>
          <w:szCs w:val="22"/>
        </w:rPr>
        <w:t xml:space="preserve">The agent must be reachable as a text chat widget embeddable in the Dona Dom website (and tenant portal when one exists). The widget is mobile-first and self-contained.</w:t>
      </w:r>
    </w:p>
    <w:p>
      <w:pPr>
        <w:spacing w:after="160" w:line="276"/>
      </w:pPr>
      <w:r>
        <w:rPr>
          <w:rFonts w:ascii="Calibri" w:cs="Calibri" w:eastAsia="Calibri" w:hAnsi="Calibri"/>
          <w:b/>
          <w:bCs/>
          <w:sz w:val="22"/>
          <w:szCs w:val="22"/>
        </w:rPr>
        <w:t xml:space="preserve">CH-3. </w:t>
      </w:r>
      <w:r>
        <w:rPr>
          <w:rFonts w:ascii="Calibri" w:cs="Calibri" w:eastAsia="Calibri" w:hAnsi="Calibri"/>
          <w:sz w:val="22"/>
          <w:szCs w:val="22"/>
        </w:rPr>
        <w:t xml:space="preserve">Both channels drive the same agent, the same rules, and the same records. A conversation is attributable to one tenant identity regardless of channel.</w:t>
      </w:r>
    </w:p>
    <w:p>
      <w:pPr>
        <w:spacing w:after="160" w:line="276"/>
      </w:pPr>
      <w:r>
        <w:rPr>
          <w:rFonts w:ascii="Calibri" w:cs="Calibri" w:eastAsia="Calibri" w:hAnsi="Calibri"/>
          <w:b/>
          <w:bCs/>
          <w:sz w:val="22"/>
          <w:szCs w:val="22"/>
        </w:rPr>
        <w:t xml:space="preserve">CH-4. </w:t>
      </w:r>
      <w:r>
        <w:rPr>
          <w:rFonts w:ascii="Calibri" w:cs="Calibri" w:eastAsia="Calibri" w:hAnsi="Calibri"/>
          <w:sz w:val="22"/>
          <w:szCs w:val="22"/>
        </w:rPr>
        <w:t xml:space="preserve">The channel layer is an adapter: adding a channel (voice, telephony) must not require changes to business modules.</w:t>
      </w:r>
    </w:p>
    <w:p>
      <w:pPr>
        <w:pStyle w:val="Heading2"/>
        <w:spacing w:after="160" w:before="280"/>
      </w:pPr>
      <w:r>
        <w:t xml:space="preserve">6.2 Languages (LNG)</w:t>
      </w:r>
    </w:p>
    <w:p>
      <w:pPr>
        <w:spacing w:after="160" w:line="276"/>
      </w:pPr>
      <w:r>
        <w:rPr>
          <w:rFonts w:ascii="Calibri" w:cs="Calibri" w:eastAsia="Calibri" w:hAnsi="Calibri"/>
          <w:b/>
          <w:bCs/>
          <w:sz w:val="22"/>
          <w:szCs w:val="22"/>
        </w:rPr>
        <w:t xml:space="preserve">LNG-1. </w:t>
      </w:r>
      <w:r>
        <w:rPr>
          <w:rFonts w:ascii="Calibri" w:cs="Calibri" w:eastAsia="Calibri" w:hAnsi="Calibri"/>
          <w:sz w:val="22"/>
          <w:szCs w:val="22"/>
        </w:rPr>
        <w:t xml:space="preserve">Phase A supports Hebrew (default) and English. Language preference is stored per person and respected across sessions.</w:t>
      </w:r>
    </w:p>
    <w:p>
      <w:pPr>
        <w:spacing w:after="160" w:line="276"/>
      </w:pPr>
      <w:r>
        <w:rPr>
          <w:rFonts w:ascii="Calibri" w:cs="Calibri" w:eastAsia="Calibri" w:hAnsi="Calibri"/>
          <w:b/>
          <w:bCs/>
          <w:sz w:val="22"/>
          <w:szCs w:val="22"/>
        </w:rPr>
        <w:t xml:space="preserve">LNG-2. </w:t>
      </w:r>
      <w:r>
        <w:rPr>
          <w:rFonts w:ascii="Calibri" w:cs="Calibri" w:eastAsia="Calibri" w:hAnsi="Calibri"/>
          <w:sz w:val="22"/>
          <w:szCs w:val="22"/>
        </w:rPr>
        <w:t xml:space="preserve">All tenant-facing flows — verification, answers, fault dialogue, consent, status updates — must be fully localised in supported languages; no mixed-language fallbacks in tenant-visible text.</w:t>
      </w:r>
    </w:p>
    <w:p>
      <w:pPr>
        <w:spacing w:after="160" w:line="276"/>
      </w:pPr>
      <w:r>
        <w:rPr>
          <w:rFonts w:ascii="Calibri" w:cs="Calibri" w:eastAsia="Calibri" w:hAnsi="Calibri"/>
          <w:b/>
          <w:bCs/>
          <w:sz w:val="22"/>
          <w:szCs w:val="22"/>
        </w:rPr>
        <w:t xml:space="preserve">LNG-3. </w:t>
      </w:r>
      <w:r>
        <w:rPr>
          <w:rFonts w:ascii="Calibri" w:cs="Calibri" w:eastAsia="Calibri" w:hAnsi="Calibri"/>
          <w:sz w:val="22"/>
          <w:szCs w:val="22"/>
        </w:rPr>
        <w:t xml:space="preserve">The architecture must add Russian, French, and Arabic (Phase B) as data/configuration, not as code changes to business modules. RTL correctness is mandatory from day one (Hebrew, later Arabic).</w:t>
      </w:r>
    </w:p>
    <w:p>
      <w:pPr>
        <w:pStyle w:val="Heading2"/>
        <w:spacing w:after="160" w:before="280"/>
      </w:pPr>
      <w:r>
        <w:t xml:space="preserve">6.3 Identity and Verification (VER)</w:t>
      </w:r>
    </w:p>
    <w:p>
      <w:pPr>
        <w:spacing w:after="160" w:line="276"/>
      </w:pPr>
      <w:r>
        <w:rPr>
          <w:rFonts w:ascii="Calibri" w:cs="Calibri" w:eastAsia="Calibri" w:hAnsi="Calibri"/>
          <w:sz w:val="22"/>
          <w:szCs w:val="22"/>
        </w:rPr>
        <w:t xml:space="preserve">Design rationale in Appendix C. Summary: verification is </w:t>
      </w:r>
      <w:r>
        <w:rPr>
          <w:rFonts w:ascii="Calibri" w:cs="Calibri" w:eastAsia="Calibri" w:hAnsi="Calibri"/>
          <w:b/>
          <w:bCs/>
          <w:sz w:val="22"/>
          <w:szCs w:val="22"/>
        </w:rPr>
        <w:t xml:space="preserve">possession-based and fail-closed</w:t>
      </w:r>
      <w:r>
        <w:rPr>
          <w:rFonts w:ascii="Calibri" w:cs="Calibri" w:eastAsia="Calibri" w:hAnsi="Calibri"/>
          <w:sz w:val="22"/>
          <w:szCs w:val="22"/>
        </w:rPr>
        <w:t xml:space="preserve">. Knowledge details (name, ID digits, apartment) are used only as step-up confirmation, never as the sole factor, because they are guessable and shareable.</w:t>
      </w:r>
    </w:p>
    <w:p>
      <w:pPr>
        <w:spacing w:after="160" w:line="276"/>
      </w:pPr>
      <w:r>
        <w:rPr>
          <w:rFonts w:ascii="Calibri" w:cs="Calibri" w:eastAsia="Calibri" w:hAnsi="Calibri"/>
          <w:b/>
          <w:bCs/>
          <w:sz w:val="22"/>
          <w:szCs w:val="22"/>
        </w:rPr>
        <w:t xml:space="preserve">VER-1. </w:t>
      </w:r>
      <w:r>
        <w:rPr>
          <w:rFonts w:ascii="Calibri" w:cs="Calibri" w:eastAsia="Calibri" w:hAnsi="Calibri"/>
          <w:sz w:val="22"/>
          <w:szCs w:val="22"/>
        </w:rPr>
        <w:t xml:space="preserve">The agent must not disclose any personal, lease, or account information before successful verification. Verification decisions are made server-side only. Failure mode is always closed: no partial disclosure.</w:t>
      </w:r>
    </w:p>
    <w:p>
      <w:pPr>
        <w:spacing w:after="160" w:line="276"/>
      </w:pPr>
      <w:r>
        <w:rPr>
          <w:rFonts w:ascii="Calibri" w:cs="Calibri" w:eastAsia="Calibri" w:hAnsi="Calibri"/>
          <w:b/>
          <w:bCs/>
          <w:sz w:val="22"/>
          <w:szCs w:val="22"/>
        </w:rPr>
        <w:t xml:space="preserve">VER-2. </w:t>
      </w:r>
      <w:r>
        <w:rPr>
          <w:rFonts w:ascii="Calibri" w:cs="Calibri" w:eastAsia="Calibri" w:hAnsi="Calibri"/>
          <w:sz w:val="22"/>
          <w:szCs w:val="22"/>
        </w:rPr>
        <w:t xml:space="preserve">WhatsApp: a sender whose number matches exactly one tenant in the registry is possession-verified by the channel itself. First contact per device/session additionally requires a step-up confirmation (e.g. apartment number) before personal data is disclosed.</w:t>
      </w:r>
    </w:p>
    <w:p>
      <w:pPr>
        <w:spacing w:after="160" w:line="276"/>
      </w:pPr>
      <w:r>
        <w:rPr>
          <w:rFonts w:ascii="Calibri" w:cs="Calibri" w:eastAsia="Calibri" w:hAnsi="Calibri"/>
          <w:b/>
          <w:bCs/>
          <w:sz w:val="22"/>
          <w:szCs w:val="22"/>
        </w:rPr>
        <w:t xml:space="preserve">VER-3. </w:t>
      </w:r>
      <w:r>
        <w:rPr>
          <w:rFonts w:ascii="Calibri" w:cs="Calibri" w:eastAsia="Calibri" w:hAnsi="Calibri"/>
          <w:sz w:val="22"/>
          <w:szCs w:val="22"/>
        </w:rPr>
        <w:t xml:space="preserve">Web widget: the tenant identifies their phone number; a one-time code (SMS OTP) is sent only to the number already on record — never to a number typed in by the visitor that is not on record. Correct code ⇒ verified session.</w:t>
      </w:r>
    </w:p>
    <w:p>
      <w:pPr>
        <w:spacing w:after="160" w:line="276"/>
      </w:pPr>
      <w:r>
        <w:rPr>
          <w:rFonts w:ascii="Calibri" w:cs="Calibri" w:eastAsia="Calibri" w:hAnsi="Calibri"/>
          <w:b/>
          <w:bCs/>
          <w:sz w:val="22"/>
          <w:szCs w:val="22"/>
        </w:rPr>
        <w:t xml:space="preserve">VER-4. </w:t>
      </w:r>
      <w:r>
        <w:rPr>
          <w:rFonts w:ascii="Calibri" w:cs="Calibri" w:eastAsia="Calibri" w:hAnsi="Calibri"/>
          <w:sz w:val="22"/>
          <w:szCs w:val="22"/>
        </w:rPr>
        <w:t xml:space="preserve">If the presented identity matches no tenant, or matches ambiguously, the agent must not enumerate or hint at registry contents; it offers a callback request and creates a staff exception to correct the registry.</w:t>
      </w:r>
    </w:p>
    <w:p>
      <w:pPr>
        <w:spacing w:after="160" w:line="276"/>
      </w:pPr>
      <w:r>
        <w:rPr>
          <w:rFonts w:ascii="Calibri" w:cs="Calibri" w:eastAsia="Calibri" w:hAnsi="Calibri"/>
          <w:b/>
          <w:bCs/>
          <w:sz w:val="22"/>
          <w:szCs w:val="22"/>
        </w:rPr>
        <w:t xml:space="preserve">VER-5. </w:t>
      </w:r>
      <w:r>
        <w:rPr>
          <w:rFonts w:ascii="Calibri" w:cs="Calibri" w:eastAsia="Calibri" w:hAnsi="Calibri"/>
          <w:sz w:val="22"/>
          <w:szCs w:val="22"/>
        </w:rPr>
        <w:t xml:space="preserve">Matching is scoped at project/building level to prevent collisions between identical apartment numbers.</w:t>
      </w:r>
    </w:p>
    <w:p>
      <w:pPr>
        <w:spacing w:after="160" w:line="276"/>
      </w:pPr>
      <w:r>
        <w:rPr>
          <w:rFonts w:ascii="Calibri" w:cs="Calibri" w:eastAsia="Calibri" w:hAnsi="Calibri"/>
          <w:b/>
          <w:bCs/>
          <w:sz w:val="22"/>
          <w:szCs w:val="22"/>
        </w:rPr>
        <w:t xml:space="preserve">VER-6. </w:t>
      </w:r>
      <w:r>
        <w:rPr>
          <w:rFonts w:ascii="Calibri" w:cs="Calibri" w:eastAsia="Calibri" w:hAnsi="Calibri"/>
          <w:sz w:val="22"/>
          <w:szCs w:val="22"/>
        </w:rPr>
        <w:t xml:space="preserve">Verified sessions expire; sensitive disclosures re-verify after expiry. A tenant must never gain access to another tenant’s information under any flow (absolute isolation).</w:t>
      </w:r>
    </w:p>
    <w:p>
      <w:pPr>
        <w:spacing w:after="160" w:line="276"/>
      </w:pPr>
      <w:r>
        <w:rPr>
          <w:rFonts w:ascii="Calibri" w:cs="Calibri" w:eastAsia="Calibri" w:hAnsi="Calibri"/>
          <w:b/>
          <w:bCs/>
          <w:sz w:val="22"/>
          <w:szCs w:val="22"/>
        </w:rPr>
        <w:t xml:space="preserve">VER-7. </w:t>
      </w:r>
      <w:r>
        <w:rPr>
          <w:rFonts w:ascii="Calibri" w:cs="Calibri" w:eastAsia="Calibri" w:hAnsi="Calibri"/>
          <w:sz w:val="22"/>
          <w:szCs w:val="22"/>
        </w:rPr>
        <w:t xml:space="preserve">Verification attempts, successes, and failures are audited; identification details are never written to logs in plain form.</w:t>
      </w:r>
    </w:p>
    <w:p>
      <w:pPr>
        <w:pStyle w:val="Heading2"/>
        <w:spacing w:after="160" w:before="280"/>
      </w:pPr>
      <w:r>
        <w:t xml:space="preserve">6.4 Lease-Grounded Answering (RAG)</w:t>
      </w:r>
    </w:p>
    <w:p>
      <w:pPr>
        <w:spacing w:after="160" w:line="276"/>
      </w:pPr>
      <w:r>
        <w:rPr>
          <w:rFonts w:ascii="Calibri" w:cs="Calibri" w:eastAsia="Calibri" w:hAnsi="Calibri"/>
          <w:b/>
          <w:bCs/>
          <w:sz w:val="22"/>
          <w:szCs w:val="22"/>
        </w:rPr>
        <w:t xml:space="preserve">RAG-1. </w:t>
      </w:r>
      <w:r>
        <w:rPr>
          <w:rFonts w:ascii="Calibri" w:cs="Calibri" w:eastAsia="Calibri" w:hAnsi="Calibri"/>
          <w:sz w:val="22"/>
          <w:szCs w:val="22"/>
        </w:rPr>
        <w:t xml:space="preserve">Lease questions are answered only from the verified tenant’s own lease agreement, then from company-wide policy documents, in that order of precedence. If neither source answers, the agent says so and offers escalation — the agent never guesses.</w:t>
      </w:r>
    </w:p>
    <w:p>
      <w:pPr>
        <w:spacing w:after="160" w:line="276"/>
      </w:pPr>
      <w:r>
        <w:rPr>
          <w:rFonts w:ascii="Calibri" w:cs="Calibri" w:eastAsia="Calibri" w:hAnsi="Calibri"/>
          <w:b/>
          <w:bCs/>
          <w:sz w:val="22"/>
          <w:szCs w:val="22"/>
        </w:rPr>
        <w:t xml:space="preserve">RAG-2. </w:t>
      </w:r>
      <w:r>
        <w:rPr>
          <w:rFonts w:ascii="Calibri" w:cs="Calibri" w:eastAsia="Calibri" w:hAnsi="Calibri"/>
          <w:sz w:val="22"/>
          <w:szCs w:val="22"/>
        </w:rPr>
        <w:t xml:space="preserve">Every lease-grounded answer must carry an internal citation to the specific clause(s) it was drawn from. Citations are visible to staff on the console alongside the answer; tenants may request the source wording.</w:t>
      </w:r>
    </w:p>
    <w:p>
      <w:pPr>
        <w:spacing w:after="160" w:line="276"/>
      </w:pPr>
      <w:r>
        <w:rPr>
          <w:rFonts w:ascii="Calibri" w:cs="Calibri" w:eastAsia="Calibri" w:hAnsi="Calibri"/>
          <w:b/>
          <w:bCs/>
          <w:sz w:val="22"/>
          <w:szCs w:val="22"/>
        </w:rPr>
        <w:t xml:space="preserve">RAG-3. </w:t>
      </w:r>
      <w:r>
        <w:rPr>
          <w:rFonts w:ascii="Calibri" w:cs="Calibri" w:eastAsia="Calibri" w:hAnsi="Calibri"/>
          <w:sz w:val="22"/>
          <w:szCs w:val="22"/>
        </w:rPr>
        <w:t xml:space="preserve">The agent must phrase answers in plain language and must not provide binding legal interpretation, promise changes to terms, or invent information. These refusals are tested, not just instructed (RAG-5).</w:t>
      </w:r>
    </w:p>
    <w:p>
      <w:pPr>
        <w:spacing w:after="160" w:line="276"/>
      </w:pPr>
      <w:r>
        <w:rPr>
          <w:rFonts w:ascii="Calibri" w:cs="Calibri" w:eastAsia="Calibri" w:hAnsi="Calibri"/>
          <w:b/>
          <w:bCs/>
          <w:sz w:val="22"/>
          <w:szCs w:val="22"/>
        </w:rPr>
        <w:t xml:space="preserve">RAG-4. </w:t>
      </w:r>
      <w:r>
        <w:rPr>
          <w:rFonts w:ascii="Calibri" w:cs="Calibri" w:eastAsia="Calibri" w:hAnsi="Calibri"/>
          <w:sz w:val="22"/>
          <w:szCs w:val="22"/>
        </w:rPr>
        <w:t xml:space="preserve">Lease ingestion: contract PDFs are indexed per occupancy at intake (Phase 0); key fields (end date, rent, deposits/guarantees, exit terms) are extracted into structured form with traceability back to the source clause.</w:t>
      </w:r>
    </w:p>
    <w:p>
      <w:pPr>
        <w:spacing w:after="160" w:line="276"/>
      </w:pPr>
      <w:r>
        <w:rPr>
          <w:rFonts w:ascii="Calibri" w:cs="Calibri" w:eastAsia="Calibri" w:hAnsi="Calibri"/>
          <w:b/>
          <w:bCs/>
          <w:sz w:val="22"/>
          <w:szCs w:val="22"/>
        </w:rPr>
        <w:t xml:space="preserve">RAG-5. </w:t>
      </w:r>
      <w:r>
        <w:rPr>
          <w:rFonts w:ascii="Calibri" w:cs="Calibri" w:eastAsia="Calibri" w:hAnsi="Calibri"/>
          <w:sz w:val="22"/>
          <w:szCs w:val="22"/>
        </w:rPr>
        <w:t xml:space="preserve">A golden evaluation set of real tenant questions (Hebrew and English) must gate every release: correct grounding, refusal to invent, correct escalation. A release that regresses the golden set does not ship.</w:t>
      </w:r>
    </w:p>
    <w:p>
      <w:pPr>
        <w:spacing w:after="160" w:line="276"/>
      </w:pPr>
      <w:r>
        <w:rPr>
          <w:rFonts w:ascii="Calibri" w:cs="Calibri" w:eastAsia="Calibri" w:hAnsi="Calibri"/>
          <w:b/>
          <w:bCs/>
          <w:sz w:val="22"/>
          <w:szCs w:val="22"/>
        </w:rPr>
        <w:t xml:space="preserve">RAG-6. </w:t>
      </w:r>
      <w:r>
        <w:rPr>
          <w:rFonts w:ascii="Calibri" w:cs="Calibri" w:eastAsia="Calibri" w:hAnsi="Calibri"/>
          <w:sz w:val="22"/>
          <w:szCs w:val="22"/>
        </w:rPr>
        <w:t xml:space="preserve">Uncertainty routes forward: below-confidence answers become a routed callback item with the draft answer and sources attached for staff review.</w:t>
      </w:r>
    </w:p>
    <w:p>
      <w:pPr>
        <w:pStyle w:val="Heading2"/>
        <w:spacing w:after="160" w:before="280"/>
      </w:pPr>
      <w:r>
        <w:t xml:space="preserve">6.5 Fault Handling and Technician Dispatch (FLT)</w:t>
      </w:r>
    </w:p>
    <w:p>
      <w:pPr>
        <w:spacing w:after="160" w:line="276"/>
      </w:pPr>
      <w:r>
        <w:rPr>
          <w:rFonts w:ascii="Calibri" w:cs="Calibri" w:eastAsia="Calibri" w:hAnsi="Calibri"/>
          <w:b/>
          <w:bCs/>
          <w:sz w:val="22"/>
          <w:szCs w:val="22"/>
        </w:rPr>
        <w:t xml:space="preserve">FLT-1. </w:t>
      </w:r>
      <w:r>
        <w:rPr>
          <w:rFonts w:ascii="Calibri" w:cs="Calibri" w:eastAsia="Calibri" w:hAnsi="Calibri"/>
          <w:sz w:val="22"/>
          <w:szCs w:val="22"/>
        </w:rPr>
        <w:t xml:space="preserve">The agent must recognise fault reports (Phase A focus: air conditioners and solar/electric water heaters, defined as catalog data, not code) and conduct guided diagnosis: structured questions, photos where useful.</w:t>
      </w:r>
    </w:p>
    <w:p>
      <w:pPr>
        <w:spacing w:after="160" w:line="276"/>
      </w:pPr>
      <w:r>
        <w:rPr>
          <w:rFonts w:ascii="Calibri" w:cs="Calibri" w:eastAsia="Calibri" w:hAnsi="Calibri"/>
          <w:b/>
          <w:bCs/>
          <w:sz w:val="22"/>
          <w:szCs w:val="22"/>
        </w:rPr>
        <w:t xml:space="preserve">FLT-2. </w:t>
      </w:r>
      <w:r>
        <w:rPr>
          <w:rFonts w:ascii="Calibri" w:cs="Calibri" w:eastAsia="Calibri" w:hAnsi="Calibri"/>
          <w:b/>
          <w:bCs/>
          <w:sz w:val="22"/>
          <w:szCs w:val="22"/>
        </w:rPr>
        <w:t xml:space="preserve">Self-service gate: </w:t>
      </w:r>
      <w:r>
        <w:rPr>
          <w:rFonts w:ascii="Calibri" w:cs="Calibri" w:eastAsia="Calibri" w:hAnsi="Calibri"/>
          <w:sz w:val="22"/>
          <w:szCs w:val="22"/>
        </w:rPr>
        <w:t xml:space="preserve">before any technician is offered, the agent must attempt guided self-resolution from the catalog’s how-to content (e.g. filter cleaning, breaker/heater switch checks). Resolution ends the case; failure proceeds with the diagnostic context attached.</w:t>
      </w:r>
    </w:p>
    <w:p>
      <w:pPr>
        <w:spacing w:after="160" w:line="276"/>
      </w:pPr>
      <w:r>
        <w:rPr>
          <w:rFonts w:ascii="Calibri" w:cs="Calibri" w:eastAsia="Calibri" w:hAnsi="Calibri"/>
          <w:b/>
          <w:bCs/>
          <w:sz w:val="22"/>
          <w:szCs w:val="22"/>
        </w:rPr>
        <w:t xml:space="preserve">FLT-3. </w:t>
      </w:r>
      <w:r>
        <w:rPr>
          <w:rFonts w:ascii="Calibri" w:cs="Calibri" w:eastAsia="Calibri" w:hAnsi="Calibri"/>
          <w:b/>
          <w:bCs/>
          <w:sz w:val="22"/>
          <w:szCs w:val="22"/>
        </w:rPr>
        <w:t xml:space="preserve">Deductible as policy data: </w:t>
      </w:r>
      <w:r>
        <w:rPr>
          <w:rFonts w:ascii="Calibri" w:cs="Calibri" w:eastAsia="Calibri" w:hAnsi="Calibri"/>
          <w:sz w:val="22"/>
          <w:szCs w:val="22"/>
        </w:rPr>
        <w:t xml:space="preserve">who pays and the tenant co-payment amount are catalog rules per job type. Where a deductible applies, the agent states it and records the tenant’s explicit consent before scheduling. Consent is a stored, auditable event.</w:t>
      </w:r>
    </w:p>
    <w:p>
      <w:pPr>
        <w:spacing w:after="160" w:line="276"/>
      </w:pPr>
      <w:r>
        <w:rPr>
          <w:rFonts w:ascii="Calibri" w:cs="Calibri" w:eastAsia="Calibri" w:hAnsi="Calibri"/>
          <w:b/>
          <w:bCs/>
          <w:sz w:val="22"/>
          <w:szCs w:val="22"/>
        </w:rPr>
        <w:t xml:space="preserve">FLT-4. </w:t>
      </w:r>
      <w:r>
        <w:rPr>
          <w:rFonts w:ascii="Calibri" w:cs="Calibri" w:eastAsia="Calibri" w:hAnsi="Calibri"/>
          <w:sz w:val="22"/>
          <w:szCs w:val="22"/>
        </w:rPr>
        <w:t xml:space="preserve">A confirmed fault becomes a case → priced job; the job is offered to matching approved technicians with issue, time window, and address. First valid accept wins; other offers close automatically.</w:t>
      </w:r>
    </w:p>
    <w:p>
      <w:pPr>
        <w:spacing w:after="160" w:line="276"/>
      </w:pPr>
      <w:r>
        <w:rPr>
          <w:rFonts w:ascii="Calibri" w:cs="Calibri" w:eastAsia="Calibri" w:hAnsi="Calibri"/>
          <w:b/>
          <w:bCs/>
          <w:sz w:val="22"/>
          <w:szCs w:val="22"/>
        </w:rPr>
        <w:t xml:space="preserve">FLT-5. </w:t>
      </w:r>
      <w:r>
        <w:rPr>
          <w:rFonts w:ascii="Calibri" w:cs="Calibri" w:eastAsia="Calibri" w:hAnsi="Calibri"/>
          <w:sz w:val="22"/>
          <w:szCs w:val="22"/>
        </w:rPr>
        <w:t xml:space="preserve">Tenant availability is collected up front; on accept, the visit is scheduled in a window the tenant already approved, and both sides receive confirmation. The technician’s Calendly calendar is updated via the sync (INT-2).</w:t>
      </w:r>
    </w:p>
    <w:p>
      <w:pPr>
        <w:spacing w:after="160" w:line="276"/>
      </w:pPr>
      <w:r>
        <w:rPr>
          <w:rFonts w:ascii="Calibri" w:cs="Calibri" w:eastAsia="Calibri" w:hAnsi="Calibri"/>
          <w:b/>
          <w:bCs/>
          <w:sz w:val="22"/>
          <w:szCs w:val="22"/>
        </w:rPr>
        <w:t xml:space="preserve">FLT-6. </w:t>
      </w:r>
      <w:r>
        <w:rPr>
          <w:rFonts w:ascii="Calibri" w:cs="Calibri" w:eastAsia="Calibri" w:hAnsi="Calibri"/>
          <w:sz w:val="22"/>
          <w:szCs w:val="22"/>
        </w:rPr>
        <w:t xml:space="preserve">Offer timeout, no matching vendor, or a no-show returns the job to dispatch or raises a staff exception — configurable policy, not code.</w:t>
      </w:r>
    </w:p>
    <w:p>
      <w:pPr>
        <w:spacing w:after="160" w:line="276"/>
      </w:pPr>
      <w:r>
        <w:rPr>
          <w:rFonts w:ascii="Calibri" w:cs="Calibri" w:eastAsia="Calibri" w:hAnsi="Calibri"/>
          <w:b/>
          <w:bCs/>
          <w:sz w:val="22"/>
          <w:szCs w:val="22"/>
        </w:rPr>
        <w:t xml:space="preserve">FLT-7. </w:t>
      </w:r>
      <w:r>
        <w:rPr>
          <w:rFonts w:ascii="Calibri" w:cs="Calibri" w:eastAsia="Calibri" w:hAnsi="Calibri"/>
          <w:sz w:val="22"/>
          <w:szCs w:val="22"/>
        </w:rPr>
        <w:t xml:space="preserve">Fulfilment captures visit evidence (photos, notes) and tenant sign-off; sign-off closes the case. Emergencies (defined per catalog: e.g. flooding, no water heating in winter) carry a priority that shortens every timeout and notifies staff immediately.</w:t>
      </w:r>
    </w:p>
    <w:p>
      <w:pPr>
        <w:pStyle w:val="Heading2"/>
        <w:spacing w:after="160" w:before="280"/>
      </w:pPr>
      <w:r>
        <w:t xml:space="preserve">6.6 Proactive Communication (PRO)</w:t>
      </w:r>
    </w:p>
    <w:p>
      <w:pPr>
        <w:spacing w:after="160" w:line="276"/>
      </w:pPr>
      <w:r>
        <w:rPr>
          <w:rFonts w:ascii="Calibri" w:cs="Calibri" w:eastAsia="Calibri" w:hAnsi="Calibri"/>
          <w:b/>
          <w:bCs/>
          <w:sz w:val="22"/>
          <w:szCs w:val="22"/>
        </w:rPr>
        <w:t xml:space="preserve">PRO-1. </w:t>
      </w:r>
      <w:r>
        <w:rPr>
          <w:rFonts w:ascii="Calibri" w:cs="Calibri" w:eastAsia="Calibri" w:hAnsi="Calibri"/>
          <w:sz w:val="22"/>
          <w:szCs w:val="22"/>
        </w:rPr>
        <w:t xml:space="preserve">The system proactively pushes status changes to the tenant (case opened, technician accepted, visit confirmed, completed) rather than waiting to be asked.</w:t>
      </w:r>
    </w:p>
    <w:p>
      <w:pPr>
        <w:spacing w:after="160" w:line="276"/>
      </w:pPr>
      <w:r>
        <w:rPr>
          <w:rFonts w:ascii="Calibri" w:cs="Calibri" w:eastAsia="Calibri" w:hAnsi="Calibri"/>
          <w:b/>
          <w:bCs/>
          <w:sz w:val="22"/>
          <w:szCs w:val="22"/>
        </w:rPr>
        <w:t xml:space="preserve">PRO-2. </w:t>
      </w:r>
      <w:r>
        <w:rPr>
          <w:rFonts w:ascii="Calibri" w:cs="Calibri" w:eastAsia="Calibri" w:hAnsi="Calibri"/>
          <w:sz w:val="22"/>
          <w:szCs w:val="22"/>
        </w:rPr>
        <w:t xml:space="preserve">Non-urgent proactive messages respect quiet hours (configurable, e.g. 09:00–19:00); emergency updates send immediately.</w:t>
      </w:r>
    </w:p>
    <w:p>
      <w:pPr>
        <w:pStyle w:val="Heading2"/>
        <w:spacing w:after="160" w:before="280"/>
      </w:pPr>
      <w:r>
        <w:t xml:space="preserve">6.7 Classification, Routing, and Callback (RTE)</w:t>
      </w:r>
    </w:p>
    <w:p>
      <w:pPr>
        <w:spacing w:after="160" w:line="276"/>
      </w:pPr>
      <w:r>
        <w:rPr>
          <w:rFonts w:ascii="Calibri" w:cs="Calibri" w:eastAsia="Calibri" w:hAnsi="Calibri"/>
          <w:b/>
          <w:bCs/>
          <w:sz w:val="22"/>
          <w:szCs w:val="22"/>
        </w:rPr>
        <w:t xml:space="preserve">RTE-1. </w:t>
      </w:r>
      <w:r>
        <w:rPr>
          <w:rFonts w:ascii="Calibri" w:cs="Calibri" w:eastAsia="Calibri" w:hAnsi="Calibri"/>
          <w:sz w:val="22"/>
          <w:szCs w:val="22"/>
        </w:rPr>
        <w:t xml:space="preserve">Every inquiry is automatically classified by topic (contract, payments, fault, documents, request for a representative, other) with the classification stored on the record.</w:t>
      </w:r>
    </w:p>
    <w:p>
      <w:pPr>
        <w:spacing w:after="160" w:line="276"/>
      </w:pPr>
      <w:r>
        <w:rPr>
          <w:rFonts w:ascii="Calibri" w:cs="Calibri" w:eastAsia="Calibri" w:hAnsi="Calibri"/>
          <w:b/>
          <w:bCs/>
          <w:sz w:val="22"/>
          <w:szCs w:val="22"/>
        </w:rPr>
        <w:t xml:space="preserve">RTE-2. </w:t>
      </w:r>
      <w:r>
        <w:rPr>
          <w:rFonts w:ascii="Calibri" w:cs="Calibri" w:eastAsia="Calibri" w:hAnsi="Calibri"/>
          <w:sz w:val="22"/>
          <w:szCs w:val="22"/>
        </w:rPr>
        <w:t xml:space="preserve">When the agent cannot resolve, or on tenant request at any time, it collects the matter’s details and creates a callback request — routed to the appropriate department queue (maintenance/defects, rentals, management company, accounting) with transcript, summary, classification, and any draft answer attached. There is no live transfer in Phase A.</w:t>
      </w:r>
    </w:p>
    <w:p>
      <w:pPr>
        <w:spacing w:after="160" w:line="276"/>
      </w:pPr>
      <w:r>
        <w:rPr>
          <w:rFonts w:ascii="Calibri" w:cs="Calibri" w:eastAsia="Calibri" w:hAnsi="Calibri"/>
          <w:b/>
          <w:bCs/>
          <w:sz w:val="22"/>
          <w:szCs w:val="22"/>
        </w:rPr>
        <w:t xml:space="preserve">RTE-3. </w:t>
      </w:r>
      <w:r>
        <w:rPr>
          <w:rFonts w:ascii="Calibri" w:cs="Calibri" w:eastAsia="Calibri" w:hAnsi="Calibri"/>
          <w:sz w:val="22"/>
          <w:szCs w:val="22"/>
        </w:rPr>
        <w:t xml:space="preserve">Every conversation is transcribed and summarised automatically; summaries attach to the case and mirror to Salesforce (INT-1).</w:t>
      </w:r>
    </w:p>
    <w:p>
      <w:pPr>
        <w:pStyle w:val="Heading2"/>
        <w:spacing w:after="160" w:before="280"/>
      </w:pPr>
      <w:r>
        <w:t xml:space="preserve">6.8 Operations Console (ADM)</w:t>
      </w:r>
    </w:p>
    <w:p>
      <w:pPr>
        <w:spacing w:after="160" w:line="276"/>
      </w:pPr>
      <w:r>
        <w:rPr>
          <w:rFonts w:ascii="Calibri" w:cs="Calibri" w:eastAsia="Calibri" w:hAnsi="Calibri"/>
          <w:sz w:val="22"/>
          <w:szCs w:val="22"/>
        </w:rPr>
        <w:t xml:space="preserve">Built to the patterns that the market’s leading admin systems converge on (Appendix B): one intake queue, SLA visibility, complete audit trail.</w:t>
      </w:r>
    </w:p>
    <w:p>
      <w:pPr>
        <w:spacing w:after="160" w:line="276"/>
      </w:pPr>
      <w:r>
        <w:rPr>
          <w:rFonts w:ascii="Calibri" w:cs="Calibri" w:eastAsia="Calibri" w:hAnsi="Calibri"/>
          <w:b/>
          <w:bCs/>
          <w:sz w:val="22"/>
          <w:szCs w:val="22"/>
        </w:rPr>
        <w:t xml:space="preserve">ADM-1. </w:t>
      </w:r>
      <w:r>
        <w:rPr>
          <w:rFonts w:ascii="Calibri" w:cs="Calibri" w:eastAsia="Calibri" w:hAnsi="Calibri"/>
          <w:b/>
          <w:bCs/>
          <w:sz w:val="22"/>
          <w:szCs w:val="22"/>
        </w:rPr>
        <w:t xml:space="preserve">Single intake queue: </w:t>
      </w:r>
      <w:r>
        <w:rPr>
          <w:rFonts w:ascii="Calibri" w:cs="Calibri" w:eastAsia="Calibri" w:hAnsi="Calibri"/>
          <w:sz w:val="22"/>
          <w:szCs w:val="22"/>
        </w:rPr>
        <w:t xml:space="preserve">every item — tenant-submitted, agent-created, or system-raised — enters one queue with classification, priority, building/unit, and asset context pre-attached. Staff never reconstruct context.</w:t>
      </w:r>
    </w:p>
    <w:p>
      <w:pPr>
        <w:spacing w:after="160" w:line="276"/>
      </w:pPr>
      <w:r>
        <w:rPr>
          <w:rFonts w:ascii="Calibri" w:cs="Calibri" w:eastAsia="Calibri" w:hAnsi="Calibri"/>
          <w:b/>
          <w:bCs/>
          <w:sz w:val="22"/>
          <w:szCs w:val="22"/>
        </w:rPr>
        <w:t xml:space="preserve">ADM-2. </w:t>
      </w:r>
      <w:r>
        <w:rPr>
          <w:rFonts w:ascii="Calibri" w:cs="Calibri" w:eastAsia="Calibri" w:hAnsi="Calibri"/>
          <w:sz w:val="22"/>
          <w:szCs w:val="22"/>
        </w:rPr>
        <w:t xml:space="preserve">Department views filter the same queue (maintenance/defects, rentals, management company, accounting); an item is never in two systems of record.</w:t>
      </w:r>
    </w:p>
    <w:p>
      <w:pPr>
        <w:spacing w:after="160" w:line="276"/>
      </w:pPr>
      <w:r>
        <w:rPr>
          <w:rFonts w:ascii="Calibri" w:cs="Calibri" w:eastAsia="Calibri" w:hAnsi="Calibri"/>
          <w:b/>
          <w:bCs/>
          <w:sz w:val="22"/>
          <w:szCs w:val="22"/>
        </w:rPr>
        <w:t xml:space="preserve">ADM-3. </w:t>
      </w:r>
      <w:r>
        <w:rPr>
          <w:rFonts w:ascii="Calibri" w:cs="Calibri" w:eastAsia="Calibri" w:hAnsi="Calibri"/>
          <w:b/>
          <w:bCs/>
          <w:sz w:val="22"/>
          <w:szCs w:val="22"/>
        </w:rPr>
        <w:t xml:space="preserve">SLA timers: </w:t>
      </w:r>
      <w:r>
        <w:rPr>
          <w:rFonts w:ascii="Calibri" w:cs="Calibri" w:eastAsia="Calibri" w:hAnsi="Calibri"/>
          <w:sz w:val="22"/>
          <w:szCs w:val="22"/>
        </w:rPr>
        <w:t xml:space="preserve">each queue item shows time-to-first-response and time-to-resolution against configurable thresholds; overdue and due-soon items are visually distinct and escalate per policy.</w:t>
      </w:r>
    </w:p>
    <w:p>
      <w:pPr>
        <w:spacing w:after="160" w:line="276"/>
      </w:pPr>
      <w:r>
        <w:rPr>
          <w:rFonts w:ascii="Calibri" w:cs="Calibri" w:eastAsia="Calibri" w:hAnsi="Calibri"/>
          <w:b/>
          <w:bCs/>
          <w:sz w:val="22"/>
          <w:szCs w:val="22"/>
        </w:rPr>
        <w:t xml:space="preserve">ADM-4. </w:t>
      </w:r>
      <w:r>
        <w:rPr>
          <w:rFonts w:ascii="Calibri" w:cs="Calibri" w:eastAsia="Calibri" w:hAnsi="Calibri"/>
          <w:sz w:val="22"/>
          <w:szCs w:val="22"/>
        </w:rPr>
        <w:t xml:space="preserve">Full conversation access: transcripts, summaries, the agent’s cited sources for each answer, and playback of any recorded audio (when voice arrives). Staff can take over any conversation; takeover is visible to the tenant.</w:t>
      </w:r>
    </w:p>
    <w:p>
      <w:pPr>
        <w:spacing w:after="160" w:line="276"/>
      </w:pPr>
      <w:r>
        <w:rPr>
          <w:rFonts w:ascii="Calibri" w:cs="Calibri" w:eastAsia="Calibri" w:hAnsi="Calibri"/>
          <w:b/>
          <w:bCs/>
          <w:sz w:val="22"/>
          <w:szCs w:val="22"/>
        </w:rPr>
        <w:t xml:space="preserve">ADM-5. </w:t>
      </w:r>
      <w:r>
        <w:rPr>
          <w:rFonts w:ascii="Calibri" w:cs="Calibri" w:eastAsia="Calibri" w:hAnsi="Calibri"/>
          <w:b/>
          <w:bCs/>
          <w:sz w:val="22"/>
          <w:szCs w:val="22"/>
        </w:rPr>
        <w:t xml:space="preserve">Audit trail: </w:t>
      </w:r>
      <w:r>
        <w:rPr>
          <w:rFonts w:ascii="Calibri" w:cs="Calibri" w:eastAsia="Calibri" w:hAnsi="Calibri"/>
          <w:sz w:val="22"/>
          <w:szCs w:val="22"/>
        </w:rPr>
        <w:t xml:space="preserve">every agent action (answer given, consent captured, job offered, schedule created, message sent) is recorded with actor, time, inputs, and outcome. The trail is immutable and exportable.</w:t>
      </w:r>
    </w:p>
    <w:p>
      <w:pPr>
        <w:spacing w:after="160" w:line="276"/>
      </w:pPr>
      <w:r>
        <w:rPr>
          <w:rFonts w:ascii="Calibri" w:cs="Calibri" w:eastAsia="Calibri" w:hAnsi="Calibri"/>
          <w:b/>
          <w:bCs/>
          <w:sz w:val="22"/>
          <w:szCs w:val="22"/>
        </w:rPr>
        <w:t xml:space="preserve">ADM-6. </w:t>
      </w:r>
      <w:r>
        <w:rPr>
          <w:rFonts w:ascii="Calibri" w:cs="Calibri" w:eastAsia="Calibri" w:hAnsi="Calibri"/>
          <w:sz w:val="22"/>
          <w:szCs w:val="22"/>
        </w:rPr>
        <w:t xml:space="preserve">Analytics: deflection rate, volumes by topic and building, response and resolution times, escalation reasons, golden-set scores per release.</w:t>
      </w:r>
    </w:p>
    <w:p>
      <w:pPr>
        <w:spacing w:after="160" w:line="276"/>
      </w:pPr>
      <w:r>
        <w:rPr>
          <w:rFonts w:ascii="Calibri" w:cs="Calibri" w:eastAsia="Calibri" w:hAnsi="Calibri"/>
          <w:b/>
          <w:bCs/>
          <w:sz w:val="22"/>
          <w:szCs w:val="22"/>
        </w:rPr>
        <w:t xml:space="preserve">ADM-7. </w:t>
      </w:r>
      <w:r>
        <w:rPr>
          <w:rFonts w:ascii="Calibri" w:cs="Calibri" w:eastAsia="Calibri" w:hAnsi="Calibri"/>
          <w:sz w:val="22"/>
          <w:szCs w:val="22"/>
        </w:rPr>
        <w:t xml:space="preserve">Settings as data: catalog job types, deductible rules, offer timeouts, quiet hours, department routing rules, and emergency definitions are editable by authorised staff without code changes.</w:t>
      </w:r>
    </w:p>
    <w:p>
      <w:pPr>
        <w:spacing w:after="160" w:line="276"/>
      </w:pPr>
      <w:r>
        <w:rPr>
          <w:rFonts w:ascii="Calibri" w:cs="Calibri" w:eastAsia="Calibri" w:hAnsi="Calibri"/>
          <w:b/>
          <w:bCs/>
          <w:sz w:val="22"/>
          <w:szCs w:val="22"/>
        </w:rPr>
        <w:t xml:space="preserve">ADM-8. </w:t>
      </w:r>
      <w:r>
        <w:rPr>
          <w:rFonts w:ascii="Calibri" w:cs="Calibri" w:eastAsia="Calibri" w:hAnsi="Calibri"/>
          <w:sz w:val="22"/>
          <w:szCs w:val="22"/>
        </w:rPr>
        <w:t xml:space="preserve">Access control: staff sign-in with roles (viewer, operator, admin); every staff action is attributed and audited.</w:t>
      </w:r>
    </w:p>
    <w:p>
      <w:pPr>
        <w:pStyle w:val="Heading2"/>
        <w:spacing w:after="160" w:before="280"/>
      </w:pPr>
      <w:r>
        <w:t xml:space="preserve">6.9 Integrations (INT)</w:t>
      </w:r>
    </w:p>
    <w:p>
      <w:pPr>
        <w:spacing w:after="160" w:line="276"/>
      </w:pPr>
      <w:r>
        <w:rPr>
          <w:rFonts w:ascii="Calibri" w:cs="Calibri" w:eastAsia="Calibri" w:hAnsi="Calibri"/>
          <w:b/>
          <w:bCs/>
          <w:sz w:val="22"/>
          <w:szCs w:val="22"/>
        </w:rPr>
        <w:t xml:space="preserve">INT-1. </w:t>
      </w:r>
      <w:r>
        <w:rPr>
          <w:rFonts w:ascii="Calibri" w:cs="Calibri" w:eastAsia="Calibri" w:hAnsi="Calibri"/>
          <w:b/>
          <w:bCs/>
          <w:sz w:val="22"/>
          <w:szCs w:val="22"/>
        </w:rPr>
        <w:t xml:space="preserve">Salesforce mirror: </w:t>
      </w:r>
      <w:r>
        <w:rPr>
          <w:rFonts w:ascii="Calibri" w:cs="Calibri" w:eastAsia="Calibri" w:hAnsi="Calibri"/>
          <w:sz w:val="22"/>
          <w:szCs w:val="22"/>
        </w:rPr>
        <w:t xml:space="preserve">cases, summaries, classifications, and outcomes are pushed to Salesforce so existing workflows and reporting continue. Salesforce is not the system of record; sync failures queue and retry without blocking tenant flows.</w:t>
      </w:r>
    </w:p>
    <w:p>
      <w:pPr>
        <w:spacing w:after="160" w:line="276"/>
      </w:pPr>
      <w:r>
        <w:rPr>
          <w:rFonts w:ascii="Calibri" w:cs="Calibri" w:eastAsia="Calibri" w:hAnsi="Calibri"/>
          <w:b/>
          <w:bCs/>
          <w:sz w:val="22"/>
          <w:szCs w:val="22"/>
        </w:rPr>
        <w:t xml:space="preserve">INT-2. </w:t>
      </w:r>
      <w:r>
        <w:rPr>
          <w:rFonts w:ascii="Calibri" w:cs="Calibri" w:eastAsia="Calibri" w:hAnsi="Calibri"/>
          <w:b/>
          <w:bCs/>
          <w:sz w:val="22"/>
          <w:szCs w:val="22"/>
        </w:rPr>
        <w:t xml:space="preserve">Calendly sync: </w:t>
      </w:r>
      <w:r>
        <w:rPr>
          <w:rFonts w:ascii="Calibri" w:cs="Calibri" w:eastAsia="Calibri" w:hAnsi="Calibri"/>
          <w:sz w:val="22"/>
          <w:szCs w:val="22"/>
        </w:rPr>
        <w:t xml:space="preserve">technician availability is read from, and confirmed visits written to, the technicians’ Calendly calendars. Scheduling truth lives in the system; Calendly reflects it.</w:t>
      </w:r>
    </w:p>
    <w:p>
      <w:pPr>
        <w:spacing w:after="160" w:line="276"/>
      </w:pPr>
      <w:r>
        <w:rPr>
          <w:rFonts w:ascii="Calibri" w:cs="Calibri" w:eastAsia="Calibri" w:hAnsi="Calibri"/>
          <w:b/>
          <w:bCs/>
          <w:sz w:val="22"/>
          <w:szCs w:val="22"/>
        </w:rPr>
        <w:t xml:space="preserve">INT-3. </w:t>
      </w:r>
      <w:r>
        <w:rPr>
          <w:rFonts w:ascii="Calibri" w:cs="Calibri" w:eastAsia="Calibri" w:hAnsi="Calibri"/>
          <w:sz w:val="22"/>
          <w:szCs w:val="22"/>
        </w:rPr>
        <w:t xml:space="preserve">Ziv (Phase B): the finance integration is isolated behind a single adapter so that Phase B’s scope is the adapter plus tenant flows — no rework of Phase A modules.</w:t>
      </w:r>
    </w:p>
    <w:p>
      <w:pPr>
        <w:spacing w:after="160" w:line="276"/>
      </w:pPr>
      <w:r>
        <w:rPr>
          <w:rFonts w:ascii="Calibri" w:cs="Calibri" w:eastAsia="Calibri" w:hAnsi="Calibri"/>
          <w:b/>
          <w:bCs/>
          <w:sz w:val="22"/>
          <w:szCs w:val="22"/>
        </w:rPr>
        <w:t xml:space="preserve">INT-4. </w:t>
      </w:r>
      <w:r>
        <w:rPr>
          <w:rFonts w:ascii="Calibri" w:cs="Calibri" w:eastAsia="Calibri" w:hAnsi="Calibri"/>
          <w:sz w:val="22"/>
          <w:szCs w:val="22"/>
        </w:rPr>
        <w:t xml:space="preserve">All integrations are idempotent and safe to retry; an outage of any third party degrades gracefully (tenant informed, item queued) and never corrupts records.</w:t>
      </w:r>
    </w:p>
    <w:p>
      <w:r>
        <w:br w:type="page"/>
      </w:r>
    </w:p>
    <w:p>
      <w:pPr>
        <w:pStyle w:val="Heading1"/>
        <w:spacing w:after="200" w:before="360"/>
      </w:pPr>
      <w:r>
        <w:t xml:space="preserve">7. Non-Functional Requirements</w:t>
      </w:r>
    </w:p>
    <w:p>
      <w:pPr>
        <w:pStyle w:val="Heading2"/>
        <w:spacing w:after="160" w:before="280"/>
      </w:pPr>
      <w:r>
        <w:t xml:space="preserve">7.1 Security and privacy (SEC)</w:t>
      </w:r>
    </w:p>
    <w:p>
      <w:pPr>
        <w:spacing w:after="160" w:line="276"/>
      </w:pPr>
      <w:r>
        <w:rPr>
          <w:rFonts w:ascii="Calibri" w:cs="Calibri" w:eastAsia="Calibri" w:hAnsi="Calibri"/>
          <w:b/>
          <w:bCs/>
          <w:sz w:val="22"/>
          <w:szCs w:val="22"/>
        </w:rPr>
        <w:t xml:space="preserve">SEC-1. </w:t>
      </w:r>
      <w:r>
        <w:rPr>
          <w:rFonts w:ascii="Calibri" w:cs="Calibri" w:eastAsia="Calibri" w:hAnsi="Calibri"/>
          <w:sz w:val="22"/>
          <w:szCs w:val="22"/>
        </w:rPr>
        <w:t xml:space="preserve">Tenants are clearly informed that conversations are recorded/logged, at first contact and on request.</w:t>
      </w:r>
    </w:p>
    <w:p>
      <w:pPr>
        <w:spacing w:after="160" w:line="276"/>
      </w:pPr>
      <w:r>
        <w:rPr>
          <w:rFonts w:ascii="Calibri" w:cs="Calibri" w:eastAsia="Calibri" w:hAnsi="Calibri"/>
          <w:b/>
          <w:bCs/>
          <w:sz w:val="22"/>
          <w:szCs w:val="22"/>
        </w:rPr>
        <w:t xml:space="preserve">SEC-2. </w:t>
      </w:r>
      <w:r>
        <w:rPr>
          <w:rFonts w:ascii="Calibri" w:cs="Calibri" w:eastAsia="Calibri" w:hAnsi="Calibri"/>
          <w:sz w:val="22"/>
          <w:szCs w:val="22"/>
        </w:rPr>
        <w:t xml:space="preserve">Identification details and personal data are never stored in logs in plain, visible form; production data never appears in test environments.</w:t>
      </w:r>
    </w:p>
    <w:p>
      <w:pPr>
        <w:spacing w:after="160" w:line="276"/>
      </w:pPr>
      <w:r>
        <w:rPr>
          <w:rFonts w:ascii="Calibri" w:cs="Calibri" w:eastAsia="Calibri" w:hAnsi="Calibri"/>
          <w:b/>
          <w:bCs/>
          <w:sz w:val="22"/>
          <w:szCs w:val="22"/>
        </w:rPr>
        <w:t xml:space="preserve">SEC-3. </w:t>
      </w:r>
      <w:r>
        <w:rPr>
          <w:rFonts w:ascii="Calibri" w:cs="Calibri" w:eastAsia="Calibri" w:hAnsi="Calibri"/>
          <w:sz w:val="22"/>
          <w:szCs w:val="22"/>
        </w:rPr>
        <w:t xml:space="preserve">Absolute tenant isolation is enforced at the data layer (every query scoped by verified occupancy), not only in agent instructions.</w:t>
      </w:r>
    </w:p>
    <w:p>
      <w:pPr>
        <w:spacing w:after="160" w:line="276"/>
      </w:pPr>
      <w:r>
        <w:rPr>
          <w:rFonts w:ascii="Calibri" w:cs="Calibri" w:eastAsia="Calibri" w:hAnsi="Calibri"/>
          <w:b/>
          <w:bCs/>
          <w:sz w:val="22"/>
          <w:szCs w:val="22"/>
        </w:rPr>
        <w:t xml:space="preserve">SEC-4. </w:t>
      </w:r>
      <w:r>
        <w:rPr>
          <w:rFonts w:ascii="Calibri" w:cs="Calibri" w:eastAsia="Calibri" w:hAnsi="Calibri"/>
          <w:sz w:val="22"/>
          <w:szCs w:val="22"/>
        </w:rPr>
        <w:t xml:space="preserve">Server-side enforcement: no verification or authorisation decision is trusted from the client or the model; the model requests, the server decides.</w:t>
      </w:r>
    </w:p>
    <w:p>
      <w:pPr>
        <w:spacing w:after="160" w:line="276"/>
      </w:pPr>
      <w:r>
        <w:rPr>
          <w:rFonts w:ascii="Calibri" w:cs="Calibri" w:eastAsia="Calibri" w:hAnsi="Calibri"/>
          <w:b/>
          <w:bCs/>
          <w:sz w:val="22"/>
          <w:szCs w:val="22"/>
        </w:rPr>
        <w:t xml:space="preserve">SEC-5. </w:t>
      </w:r>
      <w:r>
        <w:rPr>
          <w:rFonts w:ascii="Calibri" w:cs="Calibri" w:eastAsia="Calibri" w:hAnsi="Calibri"/>
          <w:sz w:val="22"/>
          <w:szCs w:val="22"/>
        </w:rPr>
        <w:t xml:space="preserve">Secrets, tokens, and third-party credentials are stored in a managed secret store; least-privilege access per integration.</w:t>
      </w:r>
    </w:p>
    <w:p>
      <w:pPr>
        <w:pStyle w:val="Heading2"/>
        <w:spacing w:after="160" w:before="280"/>
      </w:pPr>
      <w:r>
        <w:t xml:space="preserve">7.2 Data portability (POR)</w:t>
      </w:r>
    </w:p>
    <w:p>
      <w:pPr>
        <w:spacing w:after="160" w:line="276"/>
      </w:pPr>
      <w:r>
        <w:rPr>
          <w:rFonts w:ascii="Calibri" w:cs="Calibri" w:eastAsia="Calibri" w:hAnsi="Calibri"/>
          <w:b/>
          <w:bCs/>
          <w:sz w:val="22"/>
          <w:szCs w:val="22"/>
        </w:rPr>
        <w:t xml:space="preserve">POR-1. </w:t>
      </w:r>
      <w:r>
        <w:rPr>
          <w:rFonts w:ascii="Calibri" w:cs="Calibri" w:eastAsia="Calibri" w:hAnsi="Calibri"/>
          <w:sz w:val="22"/>
          <w:szCs w:val="22"/>
        </w:rPr>
        <w:t xml:space="preserve">A built-in export produces a complete data package — conversations, transcripts, summaries, case/job records, configuration, audit trail, and (when applicable) recordings — in documented open formats, runnable by Dona Dom on demand.</w:t>
      </w:r>
    </w:p>
    <w:p>
      <w:pPr>
        <w:pStyle w:val="Heading2"/>
        <w:spacing w:after="160" w:before="280"/>
      </w:pPr>
      <w:r>
        <w:t xml:space="preserve">7.3 Reliability and performance (REL)</w:t>
      </w:r>
    </w:p>
    <w:p>
      <w:pPr>
        <w:spacing w:after="160" w:line="276"/>
      </w:pPr>
      <w:r>
        <w:rPr>
          <w:rFonts w:ascii="Calibri" w:cs="Calibri" w:eastAsia="Calibri" w:hAnsi="Calibri"/>
          <w:b/>
          <w:bCs/>
          <w:sz w:val="22"/>
          <w:szCs w:val="22"/>
        </w:rPr>
        <w:t xml:space="preserve">REL-1. </w:t>
      </w:r>
      <w:r>
        <w:rPr>
          <w:rFonts w:ascii="Calibri" w:cs="Calibri" w:eastAsia="Calibri" w:hAnsi="Calibri"/>
          <w:sz w:val="22"/>
          <w:szCs w:val="22"/>
        </w:rPr>
        <w:t xml:space="preserve">Text responses begin within 5 seconds median; scheduled work (offers, timeouts, reminders) survives restarts — durable, not in-memory.</w:t>
      </w:r>
    </w:p>
    <w:p>
      <w:pPr>
        <w:spacing w:after="160" w:line="276"/>
      </w:pPr>
      <w:r>
        <w:rPr>
          <w:rFonts w:ascii="Calibri" w:cs="Calibri" w:eastAsia="Calibri" w:hAnsi="Calibri"/>
          <w:b/>
          <w:bCs/>
          <w:sz w:val="22"/>
          <w:szCs w:val="22"/>
        </w:rPr>
        <w:t xml:space="preserve">REL-2. </w:t>
      </w:r>
      <w:r>
        <w:rPr>
          <w:rFonts w:ascii="Calibri" w:cs="Calibri" w:eastAsia="Calibri" w:hAnsi="Calibri"/>
          <w:sz w:val="22"/>
          <w:szCs w:val="22"/>
        </w:rPr>
        <w:t xml:space="preserve">Every externally-triggered action is idempotent: a retried message or webhook never double-creates a case, offer, or consent.</w:t>
      </w:r>
    </w:p>
    <w:p>
      <w:pPr>
        <w:spacing w:after="160" w:line="276"/>
      </w:pPr>
      <w:r>
        <w:rPr>
          <w:rFonts w:ascii="Calibri" w:cs="Calibri" w:eastAsia="Calibri" w:hAnsi="Calibri"/>
          <w:b/>
          <w:bCs/>
          <w:sz w:val="22"/>
          <w:szCs w:val="22"/>
        </w:rPr>
        <w:t xml:space="preserve">REL-3. </w:t>
      </w:r>
      <w:r>
        <w:rPr>
          <w:rFonts w:ascii="Calibri" w:cs="Calibri" w:eastAsia="Calibri" w:hAnsi="Calibri"/>
          <w:sz w:val="22"/>
          <w:szCs w:val="22"/>
        </w:rPr>
        <w:t xml:space="preserve">The pilot targets 99.5% monthly availability for tenant channels; outages degrade to an honest "we’ll get back to you" plus a queued staff item, never silence.</w:t>
      </w:r>
    </w:p>
    <w:p>
      <w:pPr>
        <w:pStyle w:val="Heading2"/>
        <w:spacing w:after="160" w:before="280"/>
      </w:pPr>
      <w:r>
        <w:t xml:space="preserve">7.4 Quality gates (QG)</w:t>
      </w:r>
    </w:p>
    <w:p>
      <w:pPr>
        <w:spacing w:after="160" w:line="276"/>
      </w:pPr>
      <w:r>
        <w:rPr>
          <w:rFonts w:ascii="Calibri" w:cs="Calibri" w:eastAsia="Calibri" w:hAnsi="Calibri"/>
          <w:b/>
          <w:bCs/>
          <w:sz w:val="22"/>
          <w:szCs w:val="22"/>
        </w:rPr>
        <w:t xml:space="preserve">QG-1. </w:t>
      </w:r>
      <w:r>
        <w:rPr>
          <w:rFonts w:ascii="Calibri" w:cs="Calibri" w:eastAsia="Calibri" w:hAnsi="Calibri"/>
          <w:sz w:val="22"/>
          <w:szCs w:val="22"/>
        </w:rPr>
        <w:t xml:space="preserve">Contract tests per module, race tests for dispatch (two accepts ⇒ one winner), timeout tests, and the agent golden set (RAG-5) run in CI and gate every release.</w:t>
      </w:r>
    </w:p>
    <w:p>
      <w:r>
        <w:br w:type="page"/>
      </w:r>
    </w:p>
    <w:p>
      <w:pPr>
        <w:pStyle w:val="Heading1"/>
        <w:spacing w:after="200" w:before="360"/>
      </w:pPr>
      <w:r>
        <w:t xml:space="preserve">8. Rollout Plan</w:t>
      </w:r>
    </w:p>
    <w:p>
      <w:pPr>
        <w:spacing w:after="160" w:line="276"/>
      </w:pPr>
      <w:r>
        <w:rPr>
          <w:rFonts w:ascii="Calibri" w:cs="Calibri" w:eastAsia="Calibri" w:hAnsi="Calibri"/>
          <w:sz w:val="22"/>
          <w:szCs w:val="22"/>
        </w:rPr>
        <w:t xml:space="preserve">Durations are indicative engineering durations from Phase 0 start, assuming the client inputs in Section 9 arrive on time; they are checkpoints for planning, not commitments. Each phase has explicit entry and exit criteria; a phase does not start until the previous one exits.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200"/>
        <w:gridCol w:w="2100"/>
        <w:gridCol w:w="3300"/>
        <w:gridCol w:w="3300"/>
      </w:tblGrid>
      <w:tr>
        <w:trPr>
          <w:tblHeader/>
        </w:trPr>
        <w:tc>
          <w:tcPr>
            <w:tcW w:type="dxa" w:w="1200"/>
            <w:shd w:fill="E8E1D6" w:color="auto" w:val="clear"/>
            <w:tcMar>
              <w:top w:type="dxa" w:w="80"/>
              <w:left w:type="dxa" w:w="120"/>
              <w:bottom w:type="dxa" w:w="80"/>
              <w:right w:type="dxa" w:w="120"/>
            </w:tcMar>
          </w:tcPr>
          <w:p>
            <w:pPr>
              <w:spacing w:after="40"/>
            </w:pPr>
            <w:r>
              <w:rPr>
                <w:rFonts w:ascii="Calibri" w:cs="Calibri" w:eastAsia="Calibri" w:hAnsi="Calibri"/>
                <w:b/>
                <w:bCs/>
                <w:sz w:val="20"/>
                <w:szCs w:val="20"/>
              </w:rPr>
              <w:t xml:space="preserve">Phase</w:t>
            </w:r>
          </w:p>
        </w:tc>
        <w:tc>
          <w:tcPr>
            <w:tcW w:type="dxa" w:w="2100"/>
            <w:shd w:fill="E8E1D6" w:color="auto" w:val="clear"/>
            <w:tcMar>
              <w:top w:type="dxa" w:w="80"/>
              <w:left w:type="dxa" w:w="120"/>
              <w:bottom w:type="dxa" w:w="80"/>
              <w:right w:type="dxa" w:w="120"/>
            </w:tcMar>
          </w:tcPr>
          <w:p>
            <w:pPr>
              <w:spacing w:after="40"/>
            </w:pPr>
            <w:r>
              <w:rPr>
                <w:rFonts w:ascii="Calibri" w:cs="Calibri" w:eastAsia="Calibri" w:hAnsi="Calibri"/>
                <w:b/>
                <w:bCs/>
                <w:sz w:val="20"/>
                <w:szCs w:val="20"/>
              </w:rPr>
              <w:t xml:space="preserve">Indicative duration</w:t>
            </w:r>
          </w:p>
        </w:tc>
        <w:tc>
          <w:tcPr>
            <w:tcW w:type="dxa" w:w="3300"/>
            <w:shd w:fill="E8E1D6" w:color="auto" w:val="clear"/>
            <w:tcMar>
              <w:top w:type="dxa" w:w="80"/>
              <w:left w:type="dxa" w:w="120"/>
              <w:bottom w:type="dxa" w:w="80"/>
              <w:right w:type="dxa" w:w="120"/>
            </w:tcMar>
          </w:tcPr>
          <w:p>
            <w:pPr>
              <w:spacing w:after="40"/>
            </w:pPr>
            <w:r>
              <w:rPr>
                <w:rFonts w:ascii="Calibri" w:cs="Calibri" w:eastAsia="Calibri" w:hAnsi="Calibri"/>
                <w:b/>
                <w:bCs/>
                <w:sz w:val="20"/>
                <w:szCs w:val="20"/>
              </w:rPr>
              <w:t xml:space="preserve">Entry criteria</w:t>
            </w:r>
          </w:p>
        </w:tc>
        <w:tc>
          <w:tcPr>
            <w:tcW w:type="dxa" w:w="3300"/>
            <w:shd w:fill="E8E1D6" w:color="auto" w:val="clear"/>
            <w:tcMar>
              <w:top w:type="dxa" w:w="80"/>
              <w:left w:type="dxa" w:w="120"/>
              <w:bottom w:type="dxa" w:w="80"/>
              <w:right w:type="dxa" w:w="120"/>
            </w:tcMar>
          </w:tcPr>
          <w:p>
            <w:pPr>
              <w:spacing w:after="40"/>
            </w:pPr>
            <w:r>
              <w:rPr>
                <w:rFonts w:ascii="Calibri" w:cs="Calibri" w:eastAsia="Calibri" w:hAnsi="Calibri"/>
                <w:b/>
                <w:bCs/>
                <w:sz w:val="20"/>
                <w:szCs w:val="20"/>
              </w:rPr>
              <w:t xml:space="preserve">Exit criteria</w:t>
            </w:r>
          </w:p>
        </w:tc>
      </w:tr>
      <w:tr>
        <w:tc>
          <w:tcPr>
            <w:tcW w:type="dxa" w:w="12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0</w:t>
            </w:r>
          </w:p>
        </w:tc>
        <w:tc>
          <w:tcPr>
            <w:tcW w:type="dxa" w:w="21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2–3 weeks</w:t>
            </w:r>
          </w:p>
        </w:tc>
        <w:tc>
          <w:tcPr>
            <w:tcW w:type="dxa" w:w="33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This document approved; pilot buildings chosen; client inputs of Section 9 delivered.</w:t>
            </w:r>
          </w:p>
        </w:tc>
        <w:tc>
          <w:tcPr>
            <w:tcW w:type="dxa" w:w="33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Tenant registry loaded and spot-verified; 100% of pilot leases ingested with key fields extracted; environments and CI (incl. golden set v1) running; data-quality go/no-go passed.</w:t>
            </w:r>
          </w:p>
        </w:tc>
      </w:tr>
      <w:tr>
        <w:tc>
          <w:tcPr>
            <w:tcW w:type="dxa" w:w="12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A1</w:t>
            </w:r>
          </w:p>
        </w:tc>
        <w:tc>
          <w:tcPr>
            <w:tcW w:type="dxa" w:w="21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4–6 weeks</w:t>
            </w:r>
          </w:p>
        </w:tc>
        <w:tc>
          <w:tcPr>
            <w:tcW w:type="dxa" w:w="33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Phase 0 exit.</w:t>
            </w:r>
          </w:p>
        </w:tc>
        <w:tc>
          <w:tcPr>
            <w:tcW w:type="dxa" w:w="33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Verification + lease Q&amp;A live to a closed group of real tenants on both channels; RAG-1..6 and VER-1..7 acceptance passed; zero isolation defects.</w:t>
            </w:r>
          </w:p>
        </w:tc>
      </w:tr>
      <w:tr>
        <w:tc>
          <w:tcPr>
            <w:tcW w:type="dxa" w:w="12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A2</w:t>
            </w:r>
          </w:p>
        </w:tc>
        <w:tc>
          <w:tcPr>
            <w:tcW w:type="dxa" w:w="21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4–6 weeks</w:t>
            </w:r>
          </w:p>
        </w:tc>
        <w:tc>
          <w:tcPr>
            <w:tcW w:type="dxa" w:w="33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A1 exit.</w:t>
            </w:r>
          </w:p>
        </w:tc>
        <w:tc>
          <w:tcPr>
            <w:tcW w:type="dxa" w:w="33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Fault loop live end to end on pilot buildings (FLT-1..7, PRO, RTE); first real fault handled with zero staff touches; console ADM-1..8 in daily staff use; Salesforce mirror and Calendly sync verified.</w:t>
            </w:r>
          </w:p>
        </w:tc>
      </w:tr>
      <w:tr>
        <w:tc>
          <w:tcPr>
            <w:tcW w:type="dxa" w:w="12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A3</w:t>
            </w:r>
          </w:p>
        </w:tc>
        <w:tc>
          <w:tcPr>
            <w:tcW w:type="dxa" w:w="21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4 weeks (measure)</w:t>
            </w:r>
          </w:p>
        </w:tc>
        <w:tc>
          <w:tcPr>
            <w:tcW w:type="dxa" w:w="33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A2 exit.</w:t>
            </w:r>
          </w:p>
        </w:tc>
        <w:tc>
          <w:tcPr>
            <w:tcW w:type="dxa" w:w="33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Pilot success criteria of Section 4.2 measured over 4 consecutive weeks; go/no-go for Phase B.</w:t>
            </w:r>
          </w:p>
        </w:tc>
      </w:tr>
      <w:tr>
        <w:tc>
          <w:tcPr>
            <w:tcW w:type="dxa" w:w="12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B</w:t>
            </w:r>
          </w:p>
        </w:tc>
        <w:tc>
          <w:tcPr>
            <w:tcW w:type="dxa" w:w="21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6–8 weeks</w:t>
            </w:r>
          </w:p>
        </w:tc>
        <w:tc>
          <w:tcPr>
            <w:tcW w:type="dxa" w:w="33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Phase A exit; Ziv API access and documentation delivered and validated.</w:t>
            </w:r>
          </w:p>
        </w:tc>
        <w:tc>
          <w:tcPr>
            <w:tcW w:type="dxa" w:w="33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Ziv balances/invoices self-service live; RU/FR/AR localised and golden-set gated; portfolio rollout complete.</w:t>
            </w:r>
          </w:p>
        </w:tc>
      </w:tr>
      <w:tr>
        <w:tc>
          <w:tcPr>
            <w:tcW w:type="dxa" w:w="12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C</w:t>
            </w:r>
          </w:p>
        </w:tc>
        <w:tc>
          <w:tcPr>
            <w:tcW w:type="dxa" w:w="21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4–6 weeks</w:t>
            </w:r>
          </w:p>
        </w:tc>
        <w:tc>
          <w:tcPr>
            <w:tcW w:type="dxa" w:w="33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Phase B exit.</w:t>
            </w:r>
          </w:p>
        </w:tc>
        <w:tc>
          <w:tcPr>
            <w:tcW w:type="dxa" w:w="33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Move-in utility-transfer tracking with reminders live; field handover protocols in use by works managers.</w:t>
            </w:r>
          </w:p>
        </w:tc>
      </w:tr>
      <w:tr>
        <w:tc>
          <w:tcPr>
            <w:tcW w:type="dxa" w:w="12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D</w:t>
            </w:r>
          </w:p>
        </w:tc>
        <w:tc>
          <w:tcPr>
            <w:tcW w:type="dxa" w:w="21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scoped at the time</w:t>
            </w:r>
          </w:p>
        </w:tc>
        <w:tc>
          <w:tcPr>
            <w:tcW w:type="dxa" w:w="33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Phase C exit; supplier agreements in place.</w:t>
            </w:r>
          </w:p>
        </w:tc>
        <w:tc>
          <w:tcPr>
            <w:tcW w:type="dxa" w:w="33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Tender distribution with first-accept live; supplier portal live; voice/telephony per separate addendum.</w:t>
            </w:r>
          </w:p>
        </w:tc>
      </w:tr>
    </w:tbl>
    <w:p>
      <w:pPr>
        <w:spacing w:after="120"/>
      </w:pPr>
      <w:r>
        <w:rPr>
          <w:rFonts w:ascii="Calibri" w:cs="Calibri" w:eastAsia="Calibri" w:hAnsi="Calibri"/>
          <w:sz w:val="22"/>
          <w:szCs w:val="22"/>
        </w:rPr>
        <w:t xml:space="preserve"/>
      </w:r>
    </w:p>
    <w:p>
      <w:pPr>
        <w:pStyle w:val="Heading2"/>
        <w:spacing w:after="160" w:before="280"/>
      </w:pPr>
      <w:r>
        <w:t xml:space="preserve">8.1 Rollout principles</w:t>
      </w:r>
    </w:p>
    <w:p>
      <w:pPr>
        <w:pStyle w:val="ListParagraph"/>
        <w:numPr>
          <w:ilvl w:val="0"/>
          <w:numId w:val="2"/>
        </w:numPr>
        <w:spacing w:after="100" w:line="276"/>
      </w:pPr>
      <w:r>
        <w:rPr>
          <w:rFonts w:ascii="Calibri" w:cs="Calibri" w:eastAsia="Calibri" w:hAnsi="Calibri"/>
          <w:sz w:val="22"/>
          <w:szCs w:val="22"/>
        </w:rPr>
        <w:t xml:space="preserve">Real tenants from A1, but a closed group first: the fastest way to find real failure modes safely.</w:t>
      </w:r>
    </w:p>
    <w:p>
      <w:pPr>
        <w:pStyle w:val="ListParagraph"/>
        <w:numPr>
          <w:ilvl w:val="0"/>
          <w:numId w:val="2"/>
        </w:numPr>
        <w:spacing w:after="100" w:line="276"/>
      </w:pPr>
      <w:r>
        <w:rPr>
          <w:rFonts w:ascii="Calibri" w:cs="Calibri" w:eastAsia="Calibri" w:hAnsi="Calibri"/>
          <w:sz w:val="22"/>
          <w:szCs w:val="22"/>
        </w:rPr>
        <w:t xml:space="preserve">Building-by-building expansion, not portfolio big-bang; each building onboards with a verified registry slice and its leases indexed.</w:t>
      </w:r>
    </w:p>
    <w:p>
      <w:pPr>
        <w:pStyle w:val="ListParagraph"/>
        <w:numPr>
          <w:ilvl w:val="0"/>
          <w:numId w:val="2"/>
        </w:numPr>
        <w:spacing w:after="100" w:line="276"/>
      </w:pPr>
      <w:r>
        <w:rPr>
          <w:rFonts w:ascii="Calibri" w:cs="Calibri" w:eastAsia="Calibri" w:hAnsi="Calibri"/>
          <w:sz w:val="22"/>
          <w:szCs w:val="22"/>
        </w:rPr>
        <w:t xml:space="preserve">Kill-switch per capability: any tenant-facing capability can be disabled by configuration, falling back to callback collection, without a deploy.</w:t>
      </w:r>
    </w:p>
    <w:p>
      <w:pPr>
        <w:pStyle w:val="ListParagraph"/>
        <w:numPr>
          <w:ilvl w:val="0"/>
          <w:numId w:val="2"/>
        </w:numPr>
        <w:spacing w:after="100" w:line="276"/>
      </w:pPr>
      <w:r>
        <w:rPr>
          <w:rFonts w:ascii="Calibri" w:cs="Calibri" w:eastAsia="Calibri" w:hAnsi="Calibri"/>
          <w:sz w:val="22"/>
          <w:szCs w:val="22"/>
        </w:rPr>
        <w:t xml:space="preserve">Every release gated by the golden set and the quality gates (QG-1); a regression in grounding or isolation blocks the release regardless of feature pressure.</w:t>
      </w:r>
    </w:p>
    <w:p>
      <w:pPr>
        <w:pStyle w:val="ListParagraph"/>
        <w:numPr>
          <w:ilvl w:val="0"/>
          <w:numId w:val="2"/>
        </w:numPr>
        <w:spacing w:after="100" w:line="276"/>
      </w:pPr>
      <w:r>
        <w:rPr>
          <w:rFonts w:ascii="Calibri" w:cs="Calibri" w:eastAsia="Calibri" w:hAnsi="Calibri"/>
          <w:sz w:val="22"/>
          <w:szCs w:val="22"/>
        </w:rPr>
        <w:t xml:space="preserve">Staff before tenants: the console and takeover flow are live and rehearsed before any tenant capability is switched on.</w:t>
      </w:r>
    </w:p>
    <w:p>
      <w:pPr>
        <w:pStyle w:val="Heading1"/>
        <w:spacing w:after="200" w:before="360"/>
      </w:pPr>
      <w:r>
        <w:t xml:space="preserve">9. Required from Dona Dom (Client Inputs)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rPr>
          <w:tblHeader/>
        </w:trPr>
        <w:tc>
          <w:tcPr>
            <w:tcW w:type="dxa" w:w="3400"/>
            <w:shd w:fill="E8E1D6" w:color="auto" w:val="clear"/>
            <w:tcMar>
              <w:top w:type="dxa" w:w="80"/>
              <w:left w:type="dxa" w:w="120"/>
              <w:bottom w:type="dxa" w:w="80"/>
              <w:right w:type="dxa" w:w="120"/>
            </w:tcMar>
          </w:tcPr>
          <w:p>
            <w:pPr>
              <w:spacing w:after="40"/>
            </w:pPr>
            <w:r>
              <w:rPr>
                <w:rFonts w:ascii="Calibri" w:cs="Calibri" w:eastAsia="Calibri" w:hAnsi="Calibri"/>
                <w:b/>
                <w:bCs/>
                <w:sz w:val="20"/>
                <w:szCs w:val="20"/>
              </w:rPr>
              <w:t xml:space="preserve">Input</w:t>
            </w:r>
          </w:p>
        </w:tc>
        <w:tc>
          <w:tcPr>
            <w:tcW w:type="dxa" w:w="5800"/>
            <w:shd w:fill="E8E1D6" w:color="auto" w:val="clear"/>
            <w:tcMar>
              <w:top w:type="dxa" w:w="80"/>
              <w:left w:type="dxa" w:w="120"/>
              <w:bottom w:type="dxa" w:w="80"/>
              <w:right w:type="dxa" w:w="120"/>
            </w:tcMar>
          </w:tcPr>
          <w:p>
            <w:pPr>
              <w:spacing w:after="40"/>
            </w:pPr>
            <w:r>
              <w:rPr>
                <w:rFonts w:ascii="Calibri" w:cs="Calibri" w:eastAsia="Calibri" w:hAnsi="Calibri"/>
                <w:b/>
                <w:bCs/>
                <w:sz w:val="20"/>
                <w:szCs w:val="20"/>
              </w:rPr>
              <w:t xml:space="preserve">Needed for / by</w:t>
            </w:r>
          </w:p>
        </w:tc>
      </w:tr>
      <w:tr>
        <w:tc>
          <w:tcPr>
            <w:tcW w:type="dxa" w:w="34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Lease agreement PDFs for pilot buildings</w:t>
            </w:r>
          </w:p>
        </w:tc>
        <w:tc>
          <w:tcPr>
            <w:tcW w:type="dxa" w:w="58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Phase 0 ingestion; RAG quality depends directly on completeness.</w:t>
            </w:r>
          </w:p>
        </w:tc>
      </w:tr>
      <w:tr>
        <w:tc>
          <w:tcPr>
            <w:tcW w:type="dxa" w:w="34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Tenant mapping table (person ↔ phone ↔ unit ↔ building), verified</w:t>
            </w:r>
          </w:p>
        </w:tc>
        <w:tc>
          <w:tcPr>
            <w:tcW w:type="dxa" w:w="58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Verification (VER); the fail-closed design stands on registry accuracy.</w:t>
            </w:r>
          </w:p>
        </w:tc>
      </w:tr>
      <w:tr>
        <w:tc>
          <w:tcPr>
            <w:tcW w:type="dxa" w:w="34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Q&amp;A / troubleshooting document for fault handling</w:t>
            </w:r>
          </w:p>
        </w:tc>
        <w:tc>
          <w:tcPr>
            <w:tcW w:type="dxa" w:w="58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Catalog how-to content behind the self-service gate (FLT-2).</w:t>
            </w:r>
          </w:p>
        </w:tc>
      </w:tr>
      <w:tr>
        <w:tc>
          <w:tcPr>
            <w:tcW w:type="dxa" w:w="34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Deductible and who-pays rules per job type</w:t>
            </w:r>
          </w:p>
        </w:tc>
        <w:tc>
          <w:tcPr>
            <w:tcW w:type="dxa" w:w="58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FLT-3 consent flows.</w:t>
            </w:r>
          </w:p>
        </w:tc>
      </w:tr>
      <w:tr>
        <w:tc>
          <w:tcPr>
            <w:tcW w:type="dxa" w:w="34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Technician list with trades, and their Calendly links</w:t>
            </w:r>
          </w:p>
        </w:tc>
        <w:tc>
          <w:tcPr>
            <w:tcW w:type="dxa" w:w="58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Dispatch matching and INT-2.</w:t>
            </w:r>
          </w:p>
        </w:tc>
      </w:tr>
      <w:tr>
        <w:tc>
          <w:tcPr>
            <w:tcW w:type="dxa" w:w="34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Salesforce admin access (confirm active daily use — decision gate)</w:t>
            </w:r>
          </w:p>
        </w:tc>
        <w:tc>
          <w:tcPr>
            <w:tcW w:type="dxa" w:w="58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INT-1 mirror.</w:t>
            </w:r>
          </w:p>
        </w:tc>
      </w:tr>
      <w:tr>
        <w:tc>
          <w:tcPr>
            <w:tcW w:type="dxa" w:w="34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Company policy documents (house rules, standard procedures)</w:t>
            </w:r>
          </w:p>
        </w:tc>
        <w:tc>
          <w:tcPr>
            <w:tcW w:type="dxa" w:w="58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Second-tier answer grounding (RAG-1).</w:t>
            </w:r>
          </w:p>
        </w:tc>
      </w:tr>
      <w:tr>
        <w:tc>
          <w:tcPr>
            <w:tcW w:type="dxa" w:w="34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Widget embed placement on the website</w:t>
            </w:r>
          </w:p>
        </w:tc>
        <w:tc>
          <w:tcPr>
            <w:tcW w:type="dxa" w:w="58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CH-2 go-live.</w:t>
            </w:r>
          </w:p>
        </w:tc>
      </w:tr>
      <w:tr>
        <w:tc>
          <w:tcPr>
            <w:tcW w:type="dxa" w:w="34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Ziv API documentation and access (Phase B)</w:t>
            </w:r>
          </w:p>
        </w:tc>
        <w:tc>
          <w:tcPr>
            <w:tcW w:type="dxa" w:w="58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INT-3; requested early because it gates Phase B entry.</w:t>
            </w:r>
          </w:p>
        </w:tc>
      </w:tr>
    </w:tbl>
    <w:p>
      <w:r>
        <w:br w:type="page"/>
      </w:r>
    </w:p>
    <w:p>
      <w:pPr>
        <w:pStyle w:val="Heading1"/>
        <w:spacing w:after="200" w:before="360"/>
      </w:pPr>
      <w:r>
        <w:t xml:space="preserve">10. Key Assumptions and Decision Gates</w:t>
      </w:r>
    </w:p>
    <w:p>
      <w:pPr>
        <w:spacing w:after="160" w:line="276"/>
      </w:pPr>
      <w:r>
        <w:rPr>
          <w:rFonts w:ascii="Calibri" w:cs="Calibri" w:eastAsia="Calibri" w:hAnsi="Calibri"/>
          <w:sz w:val="22"/>
          <w:szCs w:val="22"/>
        </w:rPr>
        <w:t xml:space="preserve">These are the bets this plan makes. Each has a named validation moment; if one fails, the fallback is stated.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2600"/>
      </w:tblGrid>
      <w:tr>
        <w:trPr>
          <w:tblHeader/>
        </w:trPr>
        <w:tc>
          <w:tcPr>
            <w:tcW w:type="dxa" w:w="3300"/>
            <w:shd w:fill="E8E1D6" w:color="auto" w:val="clear"/>
            <w:tcMar>
              <w:top w:type="dxa" w:w="80"/>
              <w:left w:type="dxa" w:w="120"/>
              <w:bottom w:type="dxa" w:w="80"/>
              <w:right w:type="dxa" w:w="120"/>
            </w:tcMar>
          </w:tcPr>
          <w:p>
            <w:pPr>
              <w:spacing w:after="40"/>
            </w:pPr>
            <w:r>
              <w:rPr>
                <w:rFonts w:ascii="Calibri" w:cs="Calibri" w:eastAsia="Calibri" w:hAnsi="Calibri"/>
                <w:b/>
                <w:bCs/>
                <w:sz w:val="20"/>
                <w:szCs w:val="20"/>
              </w:rPr>
              <w:t xml:space="preserve">Assumption</w:t>
            </w:r>
          </w:p>
        </w:tc>
        <w:tc>
          <w:tcPr>
            <w:tcW w:type="dxa" w:w="3300"/>
            <w:shd w:fill="E8E1D6" w:color="auto" w:val="clear"/>
            <w:tcMar>
              <w:top w:type="dxa" w:w="80"/>
              <w:left w:type="dxa" w:w="120"/>
              <w:bottom w:type="dxa" w:w="80"/>
              <w:right w:type="dxa" w:w="120"/>
            </w:tcMar>
          </w:tcPr>
          <w:p>
            <w:pPr>
              <w:spacing w:after="40"/>
            </w:pPr>
            <w:r>
              <w:rPr>
                <w:rFonts w:ascii="Calibri" w:cs="Calibri" w:eastAsia="Calibri" w:hAnsi="Calibri"/>
                <w:b/>
                <w:bCs/>
                <w:sz w:val="20"/>
                <w:szCs w:val="20"/>
              </w:rPr>
              <w:t xml:space="preserve">How it is validated</w:t>
            </w:r>
          </w:p>
        </w:tc>
        <w:tc>
          <w:tcPr>
            <w:tcW w:type="dxa" w:w="2600"/>
            <w:shd w:fill="E8E1D6" w:color="auto" w:val="clear"/>
            <w:tcMar>
              <w:top w:type="dxa" w:w="80"/>
              <w:left w:type="dxa" w:w="120"/>
              <w:bottom w:type="dxa" w:w="80"/>
              <w:right w:type="dxa" w:w="120"/>
            </w:tcMar>
          </w:tcPr>
          <w:p>
            <w:pPr>
              <w:spacing w:after="40"/>
            </w:pPr>
            <w:r>
              <w:rPr>
                <w:rFonts w:ascii="Calibri" w:cs="Calibri" w:eastAsia="Calibri" w:hAnsi="Calibri"/>
                <w:b/>
                <w:bCs/>
                <w:sz w:val="20"/>
                <w:szCs w:val="20"/>
              </w:rPr>
              <w:t xml:space="preserve">Fallback if false</w:t>
            </w:r>
          </w:p>
        </w:tc>
      </w:tr>
      <w:tr>
        <w:tc>
          <w:tcPr>
            <w:tcW w:type="dxa" w:w="33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Dona Dom can supply clean lease PDFs and an accurate tenant–unit–phone registry.</w:t>
            </w:r>
          </w:p>
        </w:tc>
        <w:tc>
          <w:tcPr>
            <w:tcW w:type="dxa" w:w="33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Phase 0 data-quality gate: spot verification against a sample of tenants.</w:t>
            </w:r>
          </w:p>
        </w:tc>
        <w:tc>
          <w:tcPr>
            <w:tcW w:type="dxa" w:w="26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Phase 0 extends into a paid data-cleanup effort before A1; scope unchanged.</w:t>
            </w:r>
          </w:p>
        </w:tc>
      </w:tr>
      <w:tr>
        <w:tc>
          <w:tcPr>
            <w:tcW w:type="dxa" w:w="33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Salesforce and Calendly are in genuine daily use at Dona Dom.</w:t>
            </w:r>
          </w:p>
        </w:tc>
        <w:tc>
          <w:tcPr>
            <w:tcW w:type="dxa" w:w="33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Phase 0 workshop with staff; observe current usage.</w:t>
            </w:r>
          </w:p>
        </w:tc>
        <w:tc>
          <w:tcPr>
            <w:tcW w:type="dxa" w:w="26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Drop the mirror/sync (saved effort); console + built-in scheduling stand alone.</w:t>
            </w:r>
          </w:p>
        </w:tc>
      </w:tr>
      <w:tr>
        <w:tc>
          <w:tcPr>
            <w:tcW w:type="dxa" w:w="33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The Ziv system exposes a usable API.</w:t>
            </w:r>
          </w:p>
        </w:tc>
        <w:tc>
          <w:tcPr>
            <w:tcW w:type="dxa" w:w="33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Documentation review at Phase 0 (even though Ziv ships in B).</w:t>
            </w:r>
          </w:p>
        </w:tc>
        <w:tc>
          <w:tcPr>
            <w:tcW w:type="dxa" w:w="26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Phase B redesigns around exports/RPA or manual finance flows; Phase A unaffected.</w:t>
            </w:r>
          </w:p>
        </w:tc>
      </w:tr>
      <w:tr>
        <w:tc>
          <w:tcPr>
            <w:tcW w:type="dxa" w:w="33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Tenants will use WhatsApp/chat instead of calling the office.</w:t>
            </w:r>
          </w:p>
        </w:tc>
        <w:tc>
          <w:tcPr>
            <w:tcW w:type="dxa" w:w="33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A3 measurement window; adoption tracked per building.</w:t>
            </w:r>
          </w:p>
        </w:tc>
        <w:tc>
          <w:tcPr>
            <w:tcW w:type="dxa" w:w="26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Add telephone answering (Phase D item) earlier; agent unchanged.</w:t>
            </w:r>
          </w:p>
        </w:tc>
      </w:tr>
      <w:tr>
        <w:tc>
          <w:tcPr>
            <w:tcW w:type="dxa" w:w="33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Hebrew-language model quality supports reliable grounded answering.</w:t>
            </w:r>
          </w:p>
        </w:tc>
        <w:tc>
          <w:tcPr>
            <w:tcW w:type="dxa" w:w="33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Golden set from Phase 0 onward, before any tenant exposure.</w:t>
            </w:r>
          </w:p>
        </w:tc>
        <w:tc>
          <w:tcPr>
            <w:tcW w:type="dxa" w:w="26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Tighten to extraction-based answers (structured fields only) with more frequent escalation.</w:t>
            </w:r>
          </w:p>
        </w:tc>
      </w:tr>
      <w:tr>
        <w:tc>
          <w:tcPr>
            <w:tcW w:type="dxa" w:w="33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OTP/possession verification is acceptable to Dona Dom compliance.</w:t>
            </w:r>
          </w:p>
        </w:tc>
        <w:tc>
          <w:tcPr>
            <w:tcW w:type="dxa" w:w="33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Review of Appendix C at document approval.</w:t>
            </w:r>
          </w:p>
        </w:tc>
        <w:tc>
          <w:tcPr>
            <w:tcW w:type="dxa" w:w="26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Add the Source Document’s knowledge checks as an additional (not sole) factor.</w:t>
            </w:r>
          </w:p>
        </w:tc>
      </w:tr>
    </w:tbl>
    <w:p>
      <w:pPr>
        <w:pStyle w:val="Heading1"/>
        <w:spacing w:after="200" w:before="360"/>
      </w:pPr>
      <w:r>
        <w:t xml:space="preserve">11. Not Doing in Phase A (and Why)</w:t>
      </w:r>
    </w:p>
    <w:p>
      <w:pPr>
        <w:pStyle w:val="ListParagraph"/>
        <w:numPr>
          <w:ilvl w:val="0"/>
          <w:numId w:val="2"/>
        </w:numPr>
        <w:spacing w:after="100" w:line="276"/>
      </w:pPr>
      <w:r>
        <w:rPr>
          <w:rFonts w:ascii="Calibri" w:cs="Calibri" w:eastAsia="Calibri" w:hAnsi="Calibri"/>
          <w:b/>
          <w:bCs/>
          <w:sz w:val="22"/>
          <w:szCs w:val="22"/>
        </w:rPr>
        <w:t xml:space="preserve">Real-time voice and telephony. </w:t>
      </w:r>
      <w:r>
        <w:rPr>
          <w:rFonts w:ascii="Calibri" w:cs="Calibri" w:eastAsia="Calibri" w:hAnsi="Calibri"/>
          <w:sz w:val="22"/>
          <w:szCs w:val="22"/>
        </w:rPr>
        <w:t xml:space="preserve">Highest technical risk (speech in Hebrew, latency, barge-in) attached to the least-proven demand; the same agent gains voice as a channel later without rework (CH-4). Deferred to Phase D.</w:t>
      </w:r>
    </w:p>
    <w:p>
      <w:pPr>
        <w:pStyle w:val="ListParagraph"/>
        <w:numPr>
          <w:ilvl w:val="0"/>
          <w:numId w:val="2"/>
        </w:numPr>
        <w:spacing w:after="100" w:line="276"/>
      </w:pPr>
      <w:r>
        <w:rPr>
          <w:rFonts w:ascii="Calibri" w:cs="Calibri" w:eastAsia="Calibri" w:hAnsi="Calibri"/>
          <w:b/>
          <w:bCs/>
          <w:sz w:val="22"/>
          <w:szCs w:val="22"/>
        </w:rPr>
        <w:t xml:space="preserve">Five languages. </w:t>
      </w:r>
      <w:r>
        <w:rPr>
          <w:rFonts w:ascii="Calibri" w:cs="Calibri" w:eastAsia="Calibri" w:hAnsi="Calibri"/>
          <w:sz w:val="22"/>
          <w:szCs w:val="22"/>
        </w:rPr>
        <w:t xml:space="preserve">Every language multiplies the golden set and localisation surface. Prove answer quality in Hebrew and English first; add RU/FR/AR as data in Phase B (LNG-3).</w:t>
      </w:r>
    </w:p>
    <w:p>
      <w:pPr>
        <w:pStyle w:val="ListParagraph"/>
        <w:numPr>
          <w:ilvl w:val="0"/>
          <w:numId w:val="2"/>
        </w:numPr>
        <w:spacing w:after="100" w:line="276"/>
      </w:pPr>
      <w:r>
        <w:rPr>
          <w:rFonts w:ascii="Calibri" w:cs="Calibri" w:eastAsia="Calibri" w:hAnsi="Calibri"/>
          <w:b/>
          <w:bCs/>
          <w:sz w:val="22"/>
          <w:szCs w:val="22"/>
        </w:rPr>
        <w:t xml:space="preserve">Ziv finance self-service. </w:t>
      </w:r>
      <w:r>
        <w:rPr>
          <w:rFonts w:ascii="Calibri" w:cs="Calibri" w:eastAsia="Calibri" w:hAnsi="Calibri"/>
          <w:sz w:val="22"/>
          <w:szCs w:val="22"/>
        </w:rPr>
        <w:t xml:space="preserve">Depends on an unvalidated third-party API; isolating it behind an adapter (INT-3) means deferring it costs nothing architecturally. Phase B.</w:t>
      </w:r>
    </w:p>
    <w:p>
      <w:pPr>
        <w:pStyle w:val="ListParagraph"/>
        <w:numPr>
          <w:ilvl w:val="0"/>
          <w:numId w:val="2"/>
        </w:numPr>
        <w:spacing w:after="100" w:line="276"/>
      </w:pPr>
      <w:r>
        <w:rPr>
          <w:rFonts w:ascii="Calibri" w:cs="Calibri" w:eastAsia="Calibri" w:hAnsi="Calibri"/>
          <w:b/>
          <w:bCs/>
          <w:sz w:val="22"/>
          <w:szCs w:val="22"/>
        </w:rPr>
        <w:t xml:space="preserve">Active payment collection. </w:t>
      </w:r>
      <w:r>
        <w:rPr>
          <w:rFonts w:ascii="Calibri" w:cs="Calibri" w:eastAsia="Calibri" w:hAnsi="Calibri"/>
          <w:sz w:val="22"/>
          <w:szCs w:val="22"/>
        </w:rPr>
        <w:t xml:space="preserve">Card handling changes the security and regulatory class of the entire system. Excluded until explicitly re-scoped.</w:t>
      </w:r>
    </w:p>
    <w:p>
      <w:pPr>
        <w:pStyle w:val="ListParagraph"/>
        <w:numPr>
          <w:ilvl w:val="0"/>
          <w:numId w:val="2"/>
        </w:numPr>
        <w:spacing w:after="100" w:line="276"/>
      </w:pPr>
      <w:r>
        <w:rPr>
          <w:rFonts w:ascii="Calibri" w:cs="Calibri" w:eastAsia="Calibri" w:hAnsi="Calibri"/>
          <w:b/>
          <w:bCs/>
          <w:sz w:val="22"/>
          <w:szCs w:val="22"/>
        </w:rPr>
        <w:t xml:space="preserve">Move-in / utility transfers and field protocols. </w:t>
      </w:r>
      <w:r>
        <w:rPr>
          <w:rFonts w:ascii="Calibri" w:cs="Calibri" w:eastAsia="Calibri" w:hAnsi="Calibri"/>
          <w:sz w:val="22"/>
          <w:szCs w:val="22"/>
        </w:rPr>
        <w:t xml:space="preserve">Valuable but independent of the core loop; ships as Phase C without touching Phase A modules.</w:t>
      </w:r>
    </w:p>
    <w:p>
      <w:pPr>
        <w:pStyle w:val="ListParagraph"/>
        <w:numPr>
          <w:ilvl w:val="0"/>
          <w:numId w:val="2"/>
        </w:numPr>
        <w:spacing w:after="100" w:line="276"/>
      </w:pPr>
      <w:r>
        <w:rPr>
          <w:rFonts w:ascii="Calibri" w:cs="Calibri" w:eastAsia="Calibri" w:hAnsi="Calibri"/>
          <w:b/>
          <w:bCs/>
          <w:sz w:val="22"/>
          <w:szCs w:val="22"/>
        </w:rPr>
        <w:t xml:space="preserve">Supplier tenders and supplier portal. </w:t>
      </w:r>
      <w:r>
        <w:rPr>
          <w:rFonts w:ascii="Calibri" w:cs="Calibri" w:eastAsia="Calibri" w:hAnsi="Calibri"/>
          <w:sz w:val="22"/>
          <w:szCs w:val="22"/>
        </w:rPr>
        <w:t xml:space="preserve">Requires supplier agreements and volumes the pilot does not yet have. The dispatch design (first valid accept wins) is already the tender mechanism in miniature — Phase D extends policy, not architecture.</w:t>
      </w:r>
    </w:p>
    <w:p>
      <w:pPr>
        <w:pStyle w:val="ListParagraph"/>
        <w:numPr>
          <w:ilvl w:val="0"/>
          <w:numId w:val="2"/>
        </w:numPr>
        <w:spacing w:after="100" w:line="276"/>
      </w:pPr>
      <w:r>
        <w:rPr>
          <w:rFonts w:ascii="Calibri" w:cs="Calibri" w:eastAsia="Calibri" w:hAnsi="Calibri"/>
          <w:b/>
          <w:bCs/>
          <w:sz w:val="22"/>
          <w:szCs w:val="22"/>
        </w:rPr>
        <w:t xml:space="preserve">Replacing Salesforce, Calendly, or Ziv. </w:t>
      </w:r>
      <w:r>
        <w:rPr>
          <w:rFonts w:ascii="Calibri" w:cs="Calibri" w:eastAsia="Calibri" w:hAnsi="Calibri"/>
          <w:sz w:val="22"/>
          <w:szCs w:val="22"/>
        </w:rPr>
        <w:t xml:space="preserve">Mirror and sync instead (Section 3); replacement is a business decision for after the pilot proves the system.</w:t>
      </w:r>
    </w:p>
    <w:p>
      <w:pPr>
        <w:pStyle w:val="ListParagraph"/>
        <w:numPr>
          <w:ilvl w:val="0"/>
          <w:numId w:val="2"/>
        </w:numPr>
        <w:spacing w:after="100" w:line="276"/>
      </w:pPr>
      <w:r>
        <w:rPr>
          <w:rFonts w:ascii="Calibri" w:cs="Calibri" w:eastAsia="Calibri" w:hAnsi="Calibri"/>
          <w:b/>
          <w:bCs/>
          <w:sz w:val="22"/>
          <w:szCs w:val="22"/>
        </w:rPr>
        <w:t xml:space="preserve">An open marketplace of unknown vendors. </w:t>
      </w:r>
      <w:r>
        <w:rPr>
          <w:rFonts w:ascii="Calibri" w:cs="Calibri" w:eastAsia="Calibri" w:hAnsi="Calibri"/>
          <w:sz w:val="22"/>
          <w:szCs w:val="22"/>
        </w:rPr>
        <w:t xml:space="preserve">Phase A dispatches only to the approved roster.</w:t>
      </w:r>
    </w:p>
    <w:p>
      <w:pPr>
        <w:pStyle w:val="Heading1"/>
        <w:spacing w:after="200" w:before="360"/>
      </w:pPr>
      <w:r>
        <w:t xml:space="preserve">12. Open Questions</w:t>
      </w:r>
    </w:p>
    <w:p>
      <w:pPr>
        <w:pStyle w:val="ListParagraph"/>
        <w:numPr>
          <w:ilvl w:val="0"/>
          <w:numId w:val="2"/>
        </w:numPr>
        <w:spacing w:after="100" w:line="276"/>
      </w:pPr>
      <w:r>
        <w:rPr>
          <w:rFonts w:ascii="Calibri" w:cs="Calibri" w:eastAsia="Calibri" w:hAnsi="Calibri"/>
          <w:sz w:val="22"/>
          <w:szCs w:val="22"/>
        </w:rPr>
        <w:t xml:space="preserve">Offer timeout length and emergency thresholds — policy values to set with Dona Dom during Phase 0 (configurable thereafter, ADM-7).</w:t>
      </w:r>
    </w:p>
    <w:p>
      <w:pPr>
        <w:pStyle w:val="ListParagraph"/>
        <w:numPr>
          <w:ilvl w:val="0"/>
          <w:numId w:val="2"/>
        </w:numPr>
        <w:spacing w:after="100" w:line="276"/>
      </w:pPr>
      <w:r>
        <w:rPr>
          <w:rFonts w:ascii="Calibri" w:cs="Calibri" w:eastAsia="Calibri" w:hAnsi="Calibri"/>
          <w:sz w:val="22"/>
          <w:szCs w:val="22"/>
        </w:rPr>
        <w:t xml:space="preserve">Posted rate on the technician offer vs. per-job bid — a catalog/dispatch policy choice; does not change the architecture.</w:t>
      </w:r>
    </w:p>
    <w:p>
      <w:pPr>
        <w:pStyle w:val="ListParagraph"/>
        <w:numPr>
          <w:ilvl w:val="0"/>
          <w:numId w:val="2"/>
        </w:numPr>
        <w:spacing w:after="100" w:line="276"/>
      </w:pPr>
      <w:r>
        <w:rPr>
          <w:rFonts w:ascii="Calibri" w:cs="Calibri" w:eastAsia="Calibri" w:hAnsi="Calibri"/>
          <w:sz w:val="22"/>
          <w:szCs w:val="22"/>
        </w:rPr>
        <w:t xml:space="preserve">Which 1–2 buildings pilot, and the criteria for choosing them (volume, tenant mix, lease uniformity).</w:t>
      </w:r>
    </w:p>
    <w:p>
      <w:pPr>
        <w:pStyle w:val="ListParagraph"/>
        <w:numPr>
          <w:ilvl w:val="0"/>
          <w:numId w:val="2"/>
        </w:numPr>
        <w:spacing w:after="100" w:line="276"/>
      </w:pPr>
      <w:r>
        <w:rPr>
          <w:rFonts w:ascii="Calibri" w:cs="Calibri" w:eastAsia="Calibri" w:hAnsi="Calibri"/>
          <w:sz w:val="22"/>
          <w:szCs w:val="22"/>
        </w:rPr>
        <w:t xml:space="preserve">Recording notice wording and retention periods — requires Dona Dom’s legal review (SEC-1).</w:t>
      </w:r>
    </w:p>
    <w:p>
      <w:pPr>
        <w:pStyle w:val="ListParagraph"/>
        <w:numPr>
          <w:ilvl w:val="0"/>
          <w:numId w:val="2"/>
        </w:numPr>
        <w:spacing w:after="100" w:line="276"/>
      </w:pPr>
      <w:r>
        <w:rPr>
          <w:rFonts w:ascii="Calibri" w:cs="Calibri" w:eastAsia="Calibri" w:hAnsi="Calibri"/>
          <w:sz w:val="22"/>
          <w:szCs w:val="22"/>
        </w:rPr>
        <w:t xml:space="preserve">Whether tenant sign-off on fulfilment may be implicit after N days of silence, or must always be explicit.</w:t>
      </w:r>
    </w:p>
    <w:p>
      <w:pPr>
        <w:pStyle w:val="ListParagraph"/>
        <w:numPr>
          <w:ilvl w:val="0"/>
          <w:numId w:val="2"/>
        </w:numPr>
        <w:spacing w:after="100" w:line="276"/>
      </w:pPr>
      <w:r>
        <w:rPr>
          <w:rFonts w:ascii="Calibri" w:cs="Calibri" w:eastAsia="Calibri" w:hAnsi="Calibri"/>
          <w:sz w:val="22"/>
          <w:szCs w:val="22"/>
        </w:rPr>
        <w:t xml:space="preserve">The Source Document’s internal contradiction on intellectual property (its §9 vs §14) — flagged for the commercial agreement; deliberately outside this specification.</w:t>
      </w:r>
    </w:p>
    <w:p>
      <w:r>
        <w:br w:type="page"/>
      </w:r>
    </w:p>
    <w:p>
      <w:pPr>
        <w:pStyle w:val="Heading1"/>
        <w:spacing w:after="200" w:before="360"/>
      </w:pPr>
      <w:r>
        <w:t xml:space="preserve">Appendix A. System Architecture (Summary)</w:t>
      </w:r>
    </w:p>
    <w:p>
      <w:pPr>
        <w:spacing w:after="160" w:line="276"/>
      </w:pPr>
      <w:r>
        <w:rPr>
          <w:rFonts w:ascii="Calibri" w:cs="Calibri" w:eastAsia="Calibri" w:hAnsi="Calibri"/>
          <w:sz w:val="22"/>
          <w:szCs w:val="22"/>
        </w:rPr>
        <w:t xml:space="preserve">One deployable system (modular monolith) over a single relational system of record. Modules are bounded contexts with explicit contracts; other modules may use only a module’s published commands and events. The agent (channel) is a client that may only call documented module commands — every call audited. This architecture is validated by the internal reference implementation and is the cheapest shape to change later (a module splits out only when a concrete reason appears).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4700"/>
        <w:gridCol w:w="2300"/>
      </w:tblGrid>
      <w:tr>
        <w:trPr>
          <w:tblHeader/>
        </w:trPr>
        <w:tc>
          <w:tcPr>
            <w:tcW w:type="dxa" w:w="2200"/>
            <w:shd w:fill="E8E1D6" w:color="auto" w:val="clear"/>
            <w:tcMar>
              <w:top w:type="dxa" w:w="80"/>
              <w:left w:type="dxa" w:w="120"/>
              <w:bottom w:type="dxa" w:w="80"/>
              <w:right w:type="dxa" w:w="120"/>
            </w:tcMar>
          </w:tcPr>
          <w:p>
            <w:pPr>
              <w:spacing w:after="40"/>
            </w:pPr>
            <w:r>
              <w:rPr>
                <w:rFonts w:ascii="Calibri" w:cs="Calibri" w:eastAsia="Calibri" w:hAnsi="Calibri"/>
                <w:b/>
                <w:bCs/>
                <w:sz w:val="20"/>
                <w:szCs w:val="20"/>
              </w:rPr>
              <w:t xml:space="preserve">Module</w:t>
            </w:r>
          </w:p>
        </w:tc>
        <w:tc>
          <w:tcPr>
            <w:tcW w:type="dxa" w:w="4700"/>
            <w:shd w:fill="E8E1D6" w:color="auto" w:val="clear"/>
            <w:tcMar>
              <w:top w:type="dxa" w:w="80"/>
              <w:left w:type="dxa" w:w="120"/>
              <w:bottom w:type="dxa" w:w="80"/>
              <w:right w:type="dxa" w:w="120"/>
            </w:tcMar>
          </w:tcPr>
          <w:p>
            <w:pPr>
              <w:spacing w:after="40"/>
            </w:pPr>
            <w:r>
              <w:rPr>
                <w:rFonts w:ascii="Calibri" w:cs="Calibri" w:eastAsia="Calibri" w:hAnsi="Calibri"/>
                <w:b/>
                <w:bCs/>
                <w:sz w:val="20"/>
                <w:szCs w:val="20"/>
              </w:rPr>
              <w:t xml:space="preserve">Responsibility</w:t>
            </w:r>
          </w:p>
        </w:tc>
        <w:tc>
          <w:tcPr>
            <w:tcW w:type="dxa" w:w="2300"/>
            <w:shd w:fill="E8E1D6" w:color="auto" w:val="clear"/>
            <w:tcMar>
              <w:top w:type="dxa" w:w="80"/>
              <w:left w:type="dxa" w:w="120"/>
              <w:bottom w:type="dxa" w:w="80"/>
              <w:right w:type="dxa" w:w="120"/>
            </w:tcMar>
          </w:tcPr>
          <w:p>
            <w:pPr>
              <w:spacing w:after="40"/>
            </w:pPr>
            <w:r>
              <w:rPr>
                <w:rFonts w:ascii="Calibri" w:cs="Calibri" w:eastAsia="Calibri" w:hAnsi="Calibri"/>
                <w:b/>
                <w:bCs/>
                <w:sz w:val="20"/>
                <w:szCs w:val="20"/>
              </w:rPr>
              <w:t xml:space="preserve">Depends on</w:t>
            </w:r>
          </w:p>
        </w:tc>
      </w:tr>
      <w:tr>
        <w:tc>
          <w:tcPr>
            <w:tcW w:type="dxa" w:w="22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identity</w:t>
            </w:r>
          </w:p>
        </w:tc>
        <w:tc>
          <w:tcPr>
            <w:tcW w:type="dxa" w:w="47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People, phone numbers, roles (tenant, technician, staff); channel identity.</w:t>
            </w:r>
          </w:p>
        </w:tc>
        <w:tc>
          <w:tcPr>
            <w:tcW w:type="dxa" w:w="23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w:t>
            </w:r>
          </w:p>
        </w:tc>
      </w:tr>
      <w:tr>
        <w:tc>
          <w:tcPr>
            <w:tcW w:type="dxa" w:w="22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portfolio</w:t>
            </w:r>
          </w:p>
        </w:tc>
        <w:tc>
          <w:tcPr>
            <w:tcW w:type="dxa" w:w="47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Buildings, units, assets, access notes.</w:t>
            </w:r>
          </w:p>
        </w:tc>
        <w:tc>
          <w:tcPr>
            <w:tcW w:type="dxa" w:w="23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w:t>
            </w:r>
          </w:p>
        </w:tc>
      </w:tr>
      <w:tr>
        <w:tc>
          <w:tcPr>
            <w:tcW w:type="dxa" w:w="22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occupancy</w:t>
            </w:r>
          </w:p>
        </w:tc>
        <w:tc>
          <w:tcPr>
            <w:tcW w:type="dxa" w:w="47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Current lease, who lives where and is billed; lease documents (indexed per occupancy).</w:t>
            </w:r>
          </w:p>
        </w:tc>
        <w:tc>
          <w:tcPr>
            <w:tcW w:type="dxa" w:w="23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identity, portfolio</w:t>
            </w:r>
          </w:p>
        </w:tc>
      </w:tr>
      <w:tr>
        <w:tc>
          <w:tcPr>
            <w:tcW w:type="dxa" w:w="22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catalog</w:t>
            </w:r>
          </w:p>
        </w:tc>
        <w:tc>
          <w:tcPr>
            <w:tcW w:type="dxa" w:w="47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Job types, rates, who-pays/deductible rules, how-to (self-service) content, policy text.</w:t>
            </w:r>
          </w:p>
        </w:tc>
        <w:tc>
          <w:tcPr>
            <w:tcW w:type="dxa" w:w="23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w:t>
            </w:r>
          </w:p>
        </w:tc>
      </w:tr>
      <w:tr>
        <w:tc>
          <w:tcPr>
            <w:tcW w:type="dxa" w:w="22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vendor-roster</w:t>
            </w:r>
          </w:p>
        </w:tc>
        <w:tc>
          <w:tcPr>
            <w:tcW w:type="dxa" w:w="47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Approved technicians, trades, matching rules.</w:t>
            </w:r>
          </w:p>
        </w:tc>
        <w:tc>
          <w:tcPr>
            <w:tcW w:type="dxa" w:w="23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identity</w:t>
            </w:r>
          </w:p>
        </w:tc>
      </w:tr>
      <w:tr>
        <w:tc>
          <w:tcPr>
            <w:tcW w:type="dxa" w:w="22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case</w:t>
            </w:r>
          </w:p>
        </w:tc>
        <w:tc>
          <w:tcPr>
            <w:tcW w:type="dxa" w:w="47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One tenant matter: intake, photos, diagnosis, status, thread, priority.</w:t>
            </w:r>
          </w:p>
        </w:tc>
        <w:tc>
          <w:tcPr>
            <w:tcW w:type="dxa" w:w="23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occupancy</w:t>
            </w:r>
          </w:p>
        </w:tc>
      </w:tr>
      <w:tr>
        <w:tc>
          <w:tcPr>
            <w:tcW w:type="dxa" w:w="22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job</w:t>
            </w:r>
          </w:p>
        </w:tc>
        <w:tc>
          <w:tcPr>
            <w:tcW w:type="dxa" w:w="47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Priced work spawned from a case; assigned only on accept.</w:t>
            </w:r>
          </w:p>
        </w:tc>
        <w:tc>
          <w:tcPr>
            <w:tcW w:type="dxa" w:w="23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case, catalog</w:t>
            </w:r>
          </w:p>
        </w:tc>
      </w:tr>
      <w:tr>
        <w:tc>
          <w:tcPr>
            <w:tcW w:type="dxa" w:w="22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dispatch</w:t>
            </w:r>
          </w:p>
        </w:tc>
        <w:tc>
          <w:tcPr>
            <w:tcW w:type="dxa" w:w="47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Offers to matching technicians; first valid accept wins; timeout ⇒ exception.</w:t>
            </w:r>
          </w:p>
        </w:tc>
        <w:tc>
          <w:tcPr>
            <w:tcW w:type="dxa" w:w="23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job, vendor-roster</w:t>
            </w:r>
          </w:p>
        </w:tc>
      </w:tr>
      <w:tr>
        <w:tc>
          <w:tcPr>
            <w:tcW w:type="dxa" w:w="22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fulfillment</w:t>
            </w:r>
          </w:p>
        </w:tc>
        <w:tc>
          <w:tcPr>
            <w:tcW w:type="dxa" w:w="47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Visit, evidence, tenant sign-off, close; no-show handling.</w:t>
            </w:r>
          </w:p>
        </w:tc>
        <w:tc>
          <w:tcPr>
            <w:tcW w:type="dxa" w:w="23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dispatch</w:t>
            </w:r>
          </w:p>
        </w:tc>
      </w:tr>
      <w:tr>
        <w:tc>
          <w:tcPr>
            <w:tcW w:type="dxa" w:w="22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channel</w:t>
            </w:r>
          </w:p>
        </w:tc>
        <w:tc>
          <w:tcPr>
            <w:tcW w:type="dxa" w:w="47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The agent on WhatsApp/widget + the operations console. Owns tone; owns nothing financial.</w:t>
            </w:r>
          </w:p>
        </w:tc>
        <w:tc>
          <w:tcPr>
            <w:tcW w:type="dxa" w:w="23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all above</w:t>
            </w:r>
          </w:p>
        </w:tc>
      </w:tr>
      <w:tr>
        <w:tc>
          <w:tcPr>
            <w:tcW w:type="dxa" w:w="22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integrations</w:t>
            </w:r>
          </w:p>
        </w:tc>
        <w:tc>
          <w:tcPr>
            <w:tcW w:type="dxa" w:w="47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Salesforce mirror, Calendly sync, Ziv adapter (B). Idempotent, retry-safe.</w:t>
            </w:r>
          </w:p>
        </w:tc>
        <w:tc>
          <w:tcPr>
            <w:tcW w:type="dxa" w:w="23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case, dispatch, fulfillment</w:t>
            </w:r>
          </w:p>
        </w:tc>
      </w:tr>
    </w:tbl>
    <w:p>
      <w:pPr>
        <w:spacing w:after="120"/>
      </w:pPr>
      <w:r>
        <w:rPr>
          <w:rFonts w:ascii="Calibri" w:cs="Calibri" w:eastAsia="Calibri" w:hAnsi="Calibri"/>
          <w:sz w:val="22"/>
          <w:szCs w:val="22"/>
        </w:rPr>
        <w:t xml:space="preserve"/>
      </w:r>
    </w:p>
    <w:p>
      <w:pPr>
        <w:spacing w:after="160" w:line="276"/>
      </w:pPr>
      <w:r>
        <w:rPr>
          <w:rFonts w:ascii="Calibri" w:cs="Calibri" w:eastAsia="Calibri" w:hAnsi="Calibri"/>
          <w:b/>
          <w:bCs/>
          <w:sz w:val="22"/>
          <w:szCs w:val="22"/>
        </w:rPr>
        <w:t xml:space="preserve">Build order (Phase A): </w:t>
      </w:r>
      <w:r>
        <w:rPr>
          <w:rFonts w:ascii="Calibri" w:cs="Calibri" w:eastAsia="Calibri" w:hAnsi="Calibri"/>
          <w:sz w:val="22"/>
          <w:szCs w:val="22"/>
        </w:rPr>
        <w:t xml:space="preserve">identity, portfolio, catalog → occupancy, vendor-roster → case → job → dispatch → fulfillment, with channel wrapping each slice as it lands and integrations last. Policies (timeouts, winner rules, deductibles, quiet hours) are configuration data, never code.</w:t>
      </w:r>
    </w:p>
    <w:p>
      <w:pPr>
        <w:pStyle w:val="Heading1"/>
        <w:spacing w:after="200" w:before="360"/>
      </w:pPr>
      <w:r>
        <w:t xml:space="preserve">Appendix B. Competitive Landscape (Research Summary)</w:t>
      </w:r>
    </w:p>
    <w:p>
      <w:pPr>
        <w:spacing w:after="160" w:line="276"/>
      </w:pPr>
      <w:r>
        <w:rPr>
          <w:rFonts w:ascii="Calibri" w:cs="Calibri" w:eastAsia="Calibri" w:hAnsi="Calibri"/>
          <w:sz w:val="22"/>
          <w:szCs w:val="22"/>
        </w:rPr>
        <w:t xml:space="preserve">Reviewed August 2026. No existing product combines WhatsApp-first + Hebrew + single-operator + per-tenant lease grounding; each individual pattern below, however, is proven in production elsewhere — this plan adopts them deliberately.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000"/>
      </w:tblGrid>
      <w:tr>
        <w:trPr>
          <w:tblHeader/>
        </w:trPr>
        <w:tc>
          <w:tcPr>
            <w:tcW w:type="dxa" w:w="2200"/>
            <w:shd w:fill="E8E1D6" w:color="auto" w:val="clear"/>
            <w:tcMar>
              <w:top w:type="dxa" w:w="80"/>
              <w:left w:type="dxa" w:w="120"/>
              <w:bottom w:type="dxa" w:w="80"/>
              <w:right w:type="dxa" w:w="120"/>
            </w:tcMar>
          </w:tcPr>
          <w:p>
            <w:pPr>
              <w:spacing w:after="40"/>
            </w:pPr>
            <w:r>
              <w:rPr>
                <w:rFonts w:ascii="Calibri" w:cs="Calibri" w:eastAsia="Calibri" w:hAnsi="Calibri"/>
                <w:b/>
                <w:bCs/>
                <w:sz w:val="20"/>
                <w:szCs w:val="20"/>
              </w:rPr>
              <w:t xml:space="preserve">Product</w:t>
            </w:r>
          </w:p>
        </w:tc>
        <w:tc>
          <w:tcPr>
            <w:tcW w:type="dxa" w:w="4000"/>
            <w:shd w:fill="E8E1D6" w:color="auto" w:val="clear"/>
            <w:tcMar>
              <w:top w:type="dxa" w:w="80"/>
              <w:left w:type="dxa" w:w="120"/>
              <w:bottom w:type="dxa" w:w="80"/>
              <w:right w:type="dxa" w:w="120"/>
            </w:tcMar>
          </w:tcPr>
          <w:p>
            <w:pPr>
              <w:spacing w:after="40"/>
            </w:pPr>
            <w:r>
              <w:rPr>
                <w:rFonts w:ascii="Calibri" w:cs="Calibri" w:eastAsia="Calibri" w:hAnsi="Calibri"/>
                <w:b/>
                <w:bCs/>
                <w:sz w:val="20"/>
                <w:szCs w:val="20"/>
              </w:rPr>
              <w:t xml:space="preserve">What it proves</w:t>
            </w:r>
          </w:p>
        </w:tc>
        <w:tc>
          <w:tcPr>
            <w:tcW w:type="dxa" w:w="3000"/>
            <w:shd w:fill="E8E1D6" w:color="auto" w:val="clear"/>
            <w:tcMar>
              <w:top w:type="dxa" w:w="80"/>
              <w:left w:type="dxa" w:w="120"/>
              <w:bottom w:type="dxa" w:w="80"/>
              <w:right w:type="dxa" w:w="120"/>
            </w:tcMar>
          </w:tcPr>
          <w:p>
            <w:pPr>
              <w:spacing w:after="40"/>
            </w:pPr>
            <w:r>
              <w:rPr>
                <w:rFonts w:ascii="Calibri" w:cs="Calibri" w:eastAsia="Calibri" w:hAnsi="Calibri"/>
                <w:b/>
                <w:bCs/>
                <w:sz w:val="20"/>
                <w:szCs w:val="20"/>
              </w:rPr>
              <w:t xml:space="preserve">Adopted here as</w:t>
            </w:r>
          </w:p>
        </w:tc>
      </w:tr>
      <w:tr>
        <w:tc>
          <w:tcPr>
            <w:tcW w:type="dxa" w:w="22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EliseAI (US, 600+ operators)</w:t>
            </w:r>
          </w:p>
        </w:tc>
        <w:tc>
          <w:tcPr>
            <w:tcW w:type="dxa" w:w="40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Conversational AI across text/email/chat/voice; work-order creation; proactive status updates within quiet hours; emergency escalation to humans; self-help instructions.</w:t>
            </w:r>
          </w:p>
        </w:tc>
        <w:tc>
          <w:tcPr>
            <w:tcW w:type="dxa" w:w="30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PRO-1/2, FLT-2, RTE-2, emergency priority (FLT-7)</w:t>
            </w:r>
          </w:p>
        </w:tc>
      </w:tr>
      <w:tr>
        <w:tc>
          <w:tcPr>
            <w:tcW w:type="dxa" w:w="22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Latchel (US)</w:t>
            </w:r>
          </w:p>
        </w:tc>
        <w:tc>
          <w:tcPr>
            <w:tcW w:type="dxa" w:w="40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24/7 maintenance front office; troubleshooting before dispatch (incl. video); tenant availability collected up front; budget threshold → estimate → approval flow; fallback contractor networks.</w:t>
            </w:r>
          </w:p>
        </w:tc>
        <w:tc>
          <w:tcPr>
            <w:tcW w:type="dxa" w:w="30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FLT-2 self-service gate, FLT-3 deductible-as-policy, FLT-5 availability-first scheduling</w:t>
            </w:r>
          </w:p>
        </w:tc>
      </w:tr>
      <w:tr>
        <w:tc>
          <w:tcPr>
            <w:tcW w:type="dxa" w:w="22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Property Meld + Mezo (US)</w:t>
            </w:r>
          </w:p>
        </w:tc>
        <w:tc>
          <w:tcPr>
            <w:tcW w:type="dxa" w:w="40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AI maintenance intake/triage ("virtual technician"); measurably faster work-order resolution from better diagnosis at intake.</w:t>
            </w:r>
          </w:p>
        </w:tc>
        <w:tc>
          <w:tcPr>
            <w:tcW w:type="dxa" w:w="30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FLT-1 guided diagnosis with structured context on the job</w:t>
            </w:r>
          </w:p>
        </w:tc>
      </w:tr>
      <w:tr>
        <w:tc>
          <w:tcPr>
            <w:tcW w:type="dxa" w:w="22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Lease-intelligence tools (Abstria, Unframe, LlamaIndex-based, etc.)</w:t>
            </w:r>
          </w:p>
        </w:tc>
        <w:tc>
          <w:tcPr>
            <w:tcW w:type="dxa" w:w="40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Clause-level traceability and confidence scoring as the accepted bar for document-grounded answers.</w:t>
            </w:r>
          </w:p>
        </w:tc>
        <w:tc>
          <w:tcPr>
            <w:tcW w:type="dxa" w:w="30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RAG-2 clause citation, RAG-4 extraction with traceability</w:t>
            </w:r>
          </w:p>
        </w:tc>
      </w:tr>
      <w:tr>
        <w:tc>
          <w:tcPr>
            <w:tcW w:type="dxa" w:w="22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Ops dashboard practice (Property Meld, Second Nature, Yardi ecosystem)</w:t>
            </w:r>
          </w:p>
        </w:tc>
        <w:tc>
          <w:tcPr>
            <w:tcW w:type="dxa" w:w="40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Single intake queue with pre-attached context; SLA timers with escalation; audit trail incl. photos and sign-offs; deflection benchmark 60–80% for routine inquiries.</w:t>
            </w:r>
          </w:p>
        </w:tc>
        <w:tc>
          <w:tcPr>
            <w:tcW w:type="dxa" w:w="30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ADM-1..6, Section 4.2 targets</w:t>
            </w:r>
          </w:p>
        </w:tc>
      </w:tr>
    </w:tbl>
    <w:p>
      <w:pPr>
        <w:pStyle w:val="Heading1"/>
        <w:spacing w:after="200" w:before="360"/>
      </w:pPr>
      <w:r>
        <w:t xml:space="preserve">Appendix C. Verification Design Rationale</w:t>
      </w:r>
    </w:p>
    <w:p>
      <w:pPr>
        <w:spacing w:after="160" w:line="276"/>
      </w:pPr>
      <w:r>
        <w:rPr>
          <w:rFonts w:ascii="Calibri" w:cs="Calibri" w:eastAsia="Calibri" w:hAnsi="Calibri"/>
          <w:sz w:val="22"/>
          <w:szCs w:val="22"/>
        </w:rPr>
        <w:t xml:space="preserve">The Source Document proposes verifying tenants by full name + last 4 digits of national ID + apartment number. This specification strengthens the method while keeping the fail-closed principle, for the following reasons:</w:t>
      </w:r>
    </w:p>
    <w:p>
      <w:pPr>
        <w:pStyle w:val="ListParagraph"/>
        <w:numPr>
          <w:ilvl w:val="0"/>
          <w:numId w:val="2"/>
        </w:numPr>
        <w:spacing w:after="100" w:line="276"/>
      </w:pPr>
      <w:r>
        <w:rPr>
          <w:rFonts w:ascii="Calibri" w:cs="Calibri" w:eastAsia="Calibri" w:hAnsi="Calibri"/>
          <w:b/>
          <w:bCs/>
          <w:sz w:val="22"/>
          <w:szCs w:val="22"/>
        </w:rPr>
        <w:t xml:space="preserve">Knowledge-based checks are weak alone. </w:t>
      </w:r>
      <w:r>
        <w:rPr>
          <w:rFonts w:ascii="Calibri" w:cs="Calibri" w:eastAsia="Calibri" w:hAnsi="Calibri"/>
          <w:sz w:val="22"/>
          <w:szCs w:val="22"/>
        </w:rPr>
        <w:t xml:space="preserve">Name, apartment number, and even partial ID digits are guessable, shareable, and known to former tenants, family members, neighbours, and anyone who has seen a delivery label or a signed document. They prove familiarity, not identity.</w:t>
      </w:r>
    </w:p>
    <w:p>
      <w:pPr>
        <w:pStyle w:val="ListParagraph"/>
        <w:numPr>
          <w:ilvl w:val="0"/>
          <w:numId w:val="2"/>
        </w:numPr>
        <w:spacing w:after="100" w:line="276"/>
      </w:pPr>
      <w:r>
        <w:rPr>
          <w:rFonts w:ascii="Calibri" w:cs="Calibri" w:eastAsia="Calibri" w:hAnsi="Calibri"/>
          <w:b/>
          <w:bCs/>
          <w:sz w:val="22"/>
          <w:szCs w:val="22"/>
        </w:rPr>
        <w:t xml:space="preserve">Possession is the industry standard. </w:t>
      </w:r>
      <w:r>
        <w:rPr>
          <w:rFonts w:ascii="Calibri" w:cs="Calibri" w:eastAsia="Calibri" w:hAnsi="Calibri"/>
          <w:sz w:val="22"/>
          <w:szCs w:val="22"/>
        </w:rPr>
        <w:t xml:space="preserve">Proving control of the phone number on record (the WhatsApp account itself, or an SMS one-time code) is the same standard used by banking and government services for exactly this tier of data sensitivity, and it is lower-friction for the tenant: nothing to remember.</w:t>
      </w:r>
    </w:p>
    <w:p>
      <w:pPr>
        <w:pStyle w:val="ListParagraph"/>
        <w:numPr>
          <w:ilvl w:val="0"/>
          <w:numId w:val="2"/>
        </w:numPr>
        <w:spacing w:after="100" w:line="276"/>
      </w:pPr>
      <w:r>
        <w:rPr>
          <w:rFonts w:ascii="Calibri" w:cs="Calibri" w:eastAsia="Calibri" w:hAnsi="Calibri"/>
          <w:b/>
          <w:bCs/>
          <w:sz w:val="22"/>
          <w:szCs w:val="22"/>
        </w:rPr>
        <w:t xml:space="preserve">Fail-closed direction matters. </w:t>
      </w:r>
      <w:r>
        <w:rPr>
          <w:rFonts w:ascii="Calibri" w:cs="Calibri" w:eastAsia="Calibri" w:hAnsi="Calibri"/>
          <w:sz w:val="22"/>
          <w:szCs w:val="22"/>
        </w:rPr>
        <w:t xml:space="preserve">The OTP is sent only to the number already on record — never to a number the visitor typed that is not on record. An attacker therefore needs the tenant’s actual phone, not the tenant’s details.</w:t>
      </w:r>
    </w:p>
    <w:p>
      <w:pPr>
        <w:pStyle w:val="ListParagraph"/>
        <w:numPr>
          <w:ilvl w:val="0"/>
          <w:numId w:val="2"/>
        </w:numPr>
        <w:spacing w:after="100" w:line="276"/>
      </w:pPr>
      <w:r>
        <w:rPr>
          <w:rFonts w:ascii="Calibri" w:cs="Calibri" w:eastAsia="Calibri" w:hAnsi="Calibri"/>
          <w:b/>
          <w:bCs/>
          <w:sz w:val="22"/>
          <w:szCs w:val="22"/>
        </w:rPr>
        <w:t xml:space="preserve">Knowledge as step-up, not gate. </w:t>
      </w:r>
      <w:r>
        <w:rPr>
          <w:rFonts w:ascii="Calibri" w:cs="Calibri" w:eastAsia="Calibri" w:hAnsi="Calibri"/>
          <w:sz w:val="22"/>
          <w:szCs w:val="22"/>
        </w:rPr>
        <w:t xml:space="preserve">A first-time device or an unusual request still asks for a confirmation detail (e.g. apartment number) — defence in depth on top of possession, which is where such details belong.</w:t>
      </w:r>
    </w:p>
    <w:p>
      <w:pPr>
        <w:pStyle w:val="ListParagraph"/>
        <w:numPr>
          <w:ilvl w:val="0"/>
          <w:numId w:val="2"/>
        </w:numPr>
        <w:spacing w:after="100" w:line="276"/>
      </w:pPr>
      <w:r>
        <w:rPr>
          <w:rFonts w:ascii="Calibri" w:cs="Calibri" w:eastAsia="Calibri" w:hAnsi="Calibri"/>
          <w:b/>
          <w:bCs/>
          <w:sz w:val="22"/>
          <w:szCs w:val="22"/>
        </w:rPr>
        <w:t xml:space="preserve">Registry accuracy becomes the real control. </w:t>
      </w:r>
      <w:r>
        <w:rPr>
          <w:rFonts w:ascii="Calibri" w:cs="Calibri" w:eastAsia="Calibri" w:hAnsi="Calibri"/>
          <w:sz w:val="22"/>
          <w:szCs w:val="22"/>
        </w:rPr>
        <w:t xml:space="preserve">This design moves the security burden onto keeping the tenant–phone registry correct (Section 9) — which is auditable and fixable — rather than onto secrets that leak.</w:t>
      </w:r>
    </w:p>
    <w:p>
      <w:pPr>
        <w:spacing w:after="160" w:line="276"/>
      </w:pPr>
      <w:r>
        <w:rPr>
          <w:rFonts w:ascii="Calibri" w:cs="Calibri" w:eastAsia="Calibri" w:hAnsi="Calibri"/>
          <w:sz w:val="22"/>
          <w:szCs w:val="22"/>
        </w:rPr>
        <w:t xml:space="preserve">Net: VER-1..7 meet the Source Document’s intent (fail-closed, server-side, absolute isolation) with a stronger factor, and the Source Document’s knowledge details remain available as an additional factor if Dona Dom’s compliance review prefers both.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Calibri" w:cs="Calibri" w:eastAsia="Calibri" w:hAnsi="Calibri"/>
      <w:b/>
      <w:bCs/>
      <w:color w:val="1F3B57"/>
      <w:sz w:val="32"/>
      <w:szCs w:val="32"/>
    </w:rPr>
  </w:style>
  <w:style w:type="paragraph" w:styleId="Heading2">
    <w:name w:val="Heading 2"/>
    <w:basedOn w:val="Normal"/>
    <w:next w:val="Normal"/>
    <w:qFormat/>
    <w:pPr>
      <w:spacing w:after="160" w:before="280"/>
    </w:pPr>
    <w:rPr>
      <w:rFonts w:ascii="Calibri" w:cs="Calibri" w:eastAsia="Calibri" w:hAnsi="Calibri"/>
      <w:b/>
      <w:bCs/>
      <w:color w:val="2E5E8C"/>
      <w:sz w:val="26"/>
      <w:szCs w:val="26"/>
    </w:rPr>
  </w:style>
  <w:style w:type="paragraph" w:styleId="Heading3">
    <w:name w:val="Heading 3"/>
    <w:basedOn w:val="Normal"/>
    <w:next w:val="Normal"/>
    <w:qFormat/>
    <w:pPr>
      <w:spacing w:after="120" w:before="220"/>
    </w:pPr>
    <w:rPr>
      <w:rFonts w:ascii="Calibri" w:cs="Calibri" w:eastAsia="Calibri" w:hAnsi="Calibri"/>
      <w:b/>
      <w:bCs/>
      <w:color w:val="444444"/>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Requirements Specification — AI Tenant Agent &amp; Operations System for Dona Dom</dc:title>
  <dc:creator>Requirements working session</dc:creator>
  <cp:lastModifiedBy>Un-named</cp:lastModifiedBy>
  <cp:revision>1</cp:revision>
  <dcterms:created xsi:type="dcterms:W3CDTF">2026-08-18T17:37:02.425Z</dcterms:created>
  <dcterms:modified xsi:type="dcterms:W3CDTF">2026-08-18T17:37:02.426Z</dcterms:modified>
</cp:coreProperties>
</file>

<file path=docProps/custom.xml><?xml version="1.0" encoding="utf-8"?>
<Properties xmlns="http://schemas.openxmlformats.org/officeDocument/2006/custom-properties" xmlns:vt="http://schemas.openxmlformats.org/officeDocument/2006/docPropsVTypes"/>
</file>