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52"/>
          <w:szCs w:val="52"/>
        </w:rPr>
        <w:t xml:space="preserve">Product Vision</w:t>
      </w:r>
    </w:p>
    <w:p>
      <w:pPr>
        <w:spacing w:after="240"/>
        <w:jc w:val="center"/>
      </w:pPr>
      <w:r>
        <w:rPr>
          <w:rFonts w:ascii="Calibri" w:cs="Calibri" w:eastAsia="Calibri" w:hAnsi="Calibri"/>
          <w:sz w:val="32"/>
          <w:szCs w:val="32"/>
        </w:rPr>
        <w:t xml:space="preserve">The Tenancy Operating System for Dona Dom</w:t>
      </w:r>
    </w:p>
    <w:p>
      <w:pPr>
        <w:spacing w:after="480"/>
        <w:jc w:val="center"/>
      </w:pPr>
      <w:r>
        <w:rPr>
          <w:rFonts w:ascii="Calibri" w:cs="Calibri" w:eastAsia="Calibri" w:hAnsi="Calibri"/>
          <w:i/>
          <w:iCs/>
          <w:sz w:val="24"/>
          <w:szCs w:val="24"/>
        </w:rPr>
        <w:t xml:space="preserve">Companion to the System Requirements Specification v0.1</w:t>
      </w:r>
    </w:p>
    <w:p>
      <w:pPr>
        <w:spacing w:after="120"/>
        <w:jc w:val="center"/>
      </w:pPr>
      <w:r>
        <w:rPr>
          <w:rFonts w:ascii="Calibri" w:cs="Calibri" w:eastAsia="Calibri" w:hAnsi="Calibri"/>
          <w:color w:val="666666"/>
          <w:sz w:val="22"/>
          <w:szCs w:val="22"/>
        </w:rPr>
        <w:t xml:space="preserve">Version 0.1  ·  18 August 2026</w:t>
      </w:r>
    </w:p>
    <w:p>
      <w:pPr>
        <w:jc w:val="center"/>
      </w:pPr>
      <w:r>
        <w:rPr>
          <w:rFonts w:ascii="Calibri" w:cs="Calibri" w:eastAsia="Calibri" w:hAnsi="Calibri"/>
          <w:color w:val="666666"/>
          <w:sz w:val="18"/>
          <w:szCs w:val="18"/>
        </w:rPr>
        <w:t xml:space="preserve">This document states what the product is and the principles that settle design arguments. The SRS states what Phase A builds. When scope questions arise, this document governs direction; the SRS governs delivery.</w:t>
      </w:r>
    </w:p>
    <w:p>
      <w:r>
        <w:br w:type="page"/>
      </w:r>
    </w:p>
    <w:p>
      <w:pPr>
        <w:pStyle w:val="Heading1"/>
        <w:spacing w:after="20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What This Product Is</w:t>
      </w:r>
    </w:p>
    <w:p>
      <w:pPr>
        <w:spacing w:after="160" w:line="276"/>
      </w:pPr>
      <w:r>
        <w:rPr>
          <w:rFonts w:ascii="Calibri" w:cs="Calibri" w:eastAsia="Calibri" w:hAnsi="Calibri"/>
          <w:sz w:val="22"/>
          <w:szCs w:val="22"/>
        </w:rPr>
        <w:t xml:space="preserve">The unit of this product is not a conversation, a ticket, or a dashboard. It is the </w:t>
      </w:r>
      <w:r>
        <w:rPr>
          <w:rFonts w:ascii="Calibri" w:cs="Calibri" w:eastAsia="Calibri" w:hAnsi="Calibri"/>
          <w:b/>
          <w:bCs/>
          <w:sz w:val="22"/>
          <w:szCs w:val="22"/>
        </w:rPr>
        <w:t xml:space="preserve">tenancy</w:t>
      </w:r>
      <w:r>
        <w:rPr>
          <w:rFonts w:ascii="Calibri" w:cs="Calibri" w:eastAsia="Calibri" w:hAnsi="Calibri"/>
          <w:sz w:val="22"/>
          <w:szCs w:val="22"/>
        </w:rPr>
        <w:t xml:space="preserve"> — a multi-year relationship with a predictable lifecycle: signing → move-in → utilities → living (questions, faults, payments, seasons) → renewal window → exit notice → handover → deposit return. Today, every step of that lifecycle is either tenant-initiated friction or office-initiated labour.</w:t>
      </w:r>
    </w:p>
    <w:p>
      <w:pPr>
        <w:spacing w:after="160" w:line="276"/>
      </w:pPr>
      <w:r>
        <w:rPr>
          <w:rFonts w:ascii="Calibri" w:cs="Calibri" w:eastAsia="Calibri" w:hAnsi="Calibri"/>
          <w:sz w:val="22"/>
          <w:szCs w:val="22"/>
        </w:rPr>
        <w:t xml:space="preserve">The vision: </w:t>
      </w:r>
      <w:r>
        <w:rPr>
          <w:rFonts w:ascii="Calibri" w:cs="Calibri" w:eastAsia="Calibri" w:hAnsi="Calibri"/>
          <w:b/>
          <w:bCs/>
          <w:sz w:val="22"/>
          <w:szCs w:val="22"/>
        </w:rPr>
        <w:t xml:space="preserve">an operations system in which every lifecycle event either completes autonomously or surfaces as a supervised exception — and in which the system becomes measurably more autonomous every month.</w:t>
      </w:r>
      <w:r>
        <w:rPr>
          <w:rFonts w:ascii="Calibri" w:cs="Calibri" w:eastAsia="Calibri" w:hAnsi="Calibri"/>
          <w:sz w:val="22"/>
          <w:szCs w:val="22"/>
        </w:rPr>
        <w:t xml:space="preserve"> Conversations are the interface. The work graph is the truth. Humans supervise the frontier.</w:t>
      </w:r>
    </w:p>
    <w:p>
      <w:pPr>
        <w:spacing w:after="160" w:line="276"/>
      </w:pPr>
      <w:r>
        <w:rPr>
          <w:rFonts w:ascii="Calibri" w:cs="Calibri" w:eastAsia="Calibri" w:hAnsi="Calibri"/>
          <w:sz w:val="22"/>
          <w:szCs w:val="22"/>
        </w:rPr>
        <w:t xml:space="preserve">What Dona Dom buys is therefore not a chatbot with a dashboard. It is a portfolio where routine tenancy events complete themselves, exceptions arrive pre-diagnosed with a draft resolution, every promise made to a tenant is tracked to closure, and the system’s knowledge of the buildings and its autonomy compound month over month. Tenants get certainty in their own language. Management gets a real-time operating picture no operator of this size has ever had.</w:t>
      </w:r>
    </w:p>
    <w:p>
      <w:pPr>
        <w:pStyle w:val="Heading2"/>
        <w:spacing w:after="160" w:before="280"/>
      </w:pPr>
      <w:r>
        <w:t xml:space="preserve">1.1 North star</w:t>
      </w:r>
    </w:p>
    <w:p>
      <w:pPr>
        <w:spacing w:after="160" w:line="276"/>
      </w:pPr>
      <w:r>
        <w:rPr>
          <w:rFonts w:ascii="Calibri" w:cs="Calibri" w:eastAsia="Calibri" w:hAnsi="Calibri"/>
          <w:b/>
          <w:bCs/>
          <w:sz w:val="22"/>
          <w:szCs w:val="22"/>
        </w:rPr>
        <w:t xml:space="preserve">Zero-touch resolution rate: </w:t>
      </w:r>
      <w:r>
        <w:rPr>
          <w:rFonts w:ascii="Calibri" w:cs="Calibri" w:eastAsia="Calibri" w:hAnsi="Calibri"/>
          <w:sz w:val="22"/>
          <w:szCs w:val="22"/>
        </w:rPr>
        <w:t xml:space="preserve">the percentage of all tenancy events — questions, faults, lifecycle steps — completed with zero staff touches. It is a property of every record, not a report built later: every conversation and case terminates in exactly one of three outcomes — resolved zero-touch; resolved with staff touch (counted, attributed, and diagnosed as to why automation stopped); or an open commitment with an owner and a deadline. Nothing terminates without an outcome; nothing falls on the floor.</w:t>
      </w:r>
    </w:p>
    <w:p>
      <w:pPr>
        <w:spacing w:after="160" w:line="276"/>
      </w:pPr>
      <w:r>
        <w:rPr>
          <w:rFonts w:ascii="Calibri" w:cs="Calibri" w:eastAsia="Calibri" w:hAnsi="Calibri"/>
          <w:sz w:val="22"/>
          <w:szCs w:val="22"/>
        </w:rPr>
        <w:t xml:space="preserve">Items gated by design (money and contract drafts, Section 4.1) are excluded from the denominator, so the metric stays honest. The product’s promise is not a number; it is a </w:t>
      </w:r>
      <w:r>
        <w:rPr>
          <w:rFonts w:ascii="Calibri" w:cs="Calibri" w:eastAsia="Calibri" w:hAnsi="Calibri"/>
          <w:b/>
          <w:bCs/>
          <w:sz w:val="22"/>
          <w:szCs w:val="22"/>
        </w:rPr>
        <w:t xml:space="preserve">curve that climbs</w:t>
      </w:r>
      <w:r>
        <w:rPr>
          <w:rFonts w:ascii="Calibri" w:cs="Calibri" w:eastAsia="Calibri" w:hAnsi="Calibri"/>
          <w:sz w:val="22"/>
          <w:szCs w:val="22"/>
        </w:rPr>
        <w:t xml:space="preserve"> — with a report that shows exactly what to teach the system next.</w:t>
      </w:r>
    </w:p>
    <w:p>
      <w:pPr>
        <w:pStyle w:val="Heading2"/>
        <w:spacing w:after="160" w:before="280"/>
      </w:pPr>
      <w:r>
        <w:t xml:space="preserve">1.2 Character</w:t>
      </w:r>
    </w:p>
    <w:p>
      <w:pPr>
        <w:spacing w:after="160" w:line="276"/>
      </w:pPr>
      <w:r>
        <w:rPr>
          <w:rFonts w:ascii="Calibri" w:cs="Calibri" w:eastAsia="Calibri" w:hAnsi="Calibri"/>
          <w:sz w:val="22"/>
          <w:szCs w:val="22"/>
        </w:rPr>
        <w:t xml:space="preserve">Three early decisions define the product’s character, and every later argument is settled against them:</w:t>
      </w:r>
    </w:p>
    <w:p>
      <w:pPr>
        <w:pStyle w:val="ListParagraph"/>
        <w:numPr>
          <w:ilvl w:val="0"/>
          <w:numId w:val="2"/>
        </w:numPr>
        <w:spacing w:after="100" w:line="276"/>
      </w:pPr>
      <w:r>
        <w:rPr>
          <w:rFonts w:ascii="Calibri" w:cs="Calibri" w:eastAsia="Calibri" w:hAnsi="Calibri"/>
          <w:b/>
          <w:bCs/>
          <w:sz w:val="22"/>
          <w:szCs w:val="22"/>
        </w:rPr>
        <w:t xml:space="preserve">Relentless about work. </w:t>
      </w:r>
      <w:r>
        <w:rPr>
          <w:rFonts w:ascii="Calibri" w:cs="Calibri" w:eastAsia="Calibri" w:hAnsi="Calibri"/>
          <w:sz w:val="22"/>
          <w:szCs w:val="22"/>
        </w:rPr>
        <w:t xml:space="preserve">Operational actions — diagnosis, scheduling, reminders, status, sign-off — run fully autonomously once trust is earned.</w:t>
      </w:r>
    </w:p>
    <w:p>
      <w:pPr>
        <w:pStyle w:val="ListParagraph"/>
        <w:numPr>
          <w:ilvl w:val="0"/>
          <w:numId w:val="2"/>
        </w:numPr>
        <w:spacing w:after="100" w:line="276"/>
      </w:pPr>
      <w:r>
        <w:rPr>
          <w:rFonts w:ascii="Calibri" w:cs="Calibri" w:eastAsia="Calibri" w:hAnsi="Calibri"/>
          <w:b/>
          <w:bCs/>
          <w:sz w:val="22"/>
          <w:szCs w:val="22"/>
        </w:rPr>
        <w:t xml:space="preserve">Hands off money. </w:t>
      </w:r>
      <w:r>
        <w:rPr>
          <w:rFonts w:ascii="Calibri" w:cs="Calibri" w:eastAsia="Calibri" w:hAnsi="Calibri"/>
          <w:sz w:val="22"/>
          <w:szCs w:val="22"/>
        </w:rPr>
        <w:t xml:space="preserve">The system never moves, charges, or bills a shekel — structurally, permanently. It reads financial records for context, records consents, and drafts documents for humans. Execution always lives with people.</w:t>
      </w:r>
    </w:p>
    <w:p>
      <w:pPr>
        <w:pStyle w:val="ListParagraph"/>
        <w:numPr>
          <w:ilvl w:val="0"/>
          <w:numId w:val="2"/>
        </w:numPr>
        <w:spacing w:after="100" w:line="276"/>
      </w:pPr>
      <w:r>
        <w:rPr>
          <w:rFonts w:ascii="Calibri" w:cs="Calibri" w:eastAsia="Calibri" w:hAnsi="Calibri"/>
          <w:b/>
          <w:bCs/>
          <w:sz w:val="22"/>
          <w:szCs w:val="22"/>
        </w:rPr>
        <w:t xml:space="preserve">Respectful about attention. </w:t>
      </w:r>
      <w:r>
        <w:rPr>
          <w:rFonts w:ascii="Calibri" w:cs="Calibri" w:eastAsia="Calibri" w:hAnsi="Calibri"/>
          <w:sz w:val="22"/>
          <w:szCs w:val="22"/>
        </w:rPr>
        <w:t xml:space="preserve">Proactivity is a promise the tenant controls, not a setting buried in a menu.</w:t>
      </w:r>
    </w:p>
    <w:p>
      <w:r>
        <w:br w:type="page"/>
      </w:r>
    </w:p>
    <w:p>
      <w:pPr>
        <w:pStyle w:val="Heading1"/>
        <w:spacing w:after="200" w:before="360"/>
      </w:pPr>
      <w:r>
        <w:t xml:space="preserve">2. Three Surfaces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00"/>
      </w:tblGrid>
      <w:tr>
        <w:trPr>
          <w:tblHeader/>
        </w:trPr>
        <w:tc>
          <w:tcPr>
            <w:tcW w:type="dxa" w:w="22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Surface</w:t>
            </w:r>
          </w:p>
        </w:tc>
        <w:tc>
          <w:tcPr>
            <w:tcW w:type="dxa" w:w="18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Who</w:t>
            </w:r>
          </w:p>
        </w:tc>
        <w:tc>
          <w:tcPr>
            <w:tcW w:type="dxa" w:w="54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What it is</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Thread</w:t>
            </w:r>
          </w:p>
        </w:tc>
        <w:tc>
          <w:tcPr>
            <w:tcW w:type="dxa" w:w="1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Tenants</w:t>
            </w:r>
          </w:p>
        </w:tc>
        <w:tc>
          <w:tcPr>
            <w:tcW w:type="dxa" w:w="5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persistent WhatsApp / web-widget conversation that IS the tenancy: verification, cited answers, faults, documents, confirmations, sign-offs, and (opt-in) lifecycle guidance — continuous for years, not per-session. The tenant’s “portal” is the thread.</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Command Room</w:t>
            </w:r>
          </w:p>
        </w:tc>
        <w:tc>
          <w:tcPr>
            <w:tcW w:type="dxa" w:w="1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Staff &amp; management</w:t>
            </w:r>
          </w:p>
        </w:tc>
        <w:tc>
          <w:tcPr>
            <w:tcW w:type="dxa" w:w="5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queue where exceptions arrive pre-diagnosed with a draft resolution attached; approval flows for everything gated; portfolio health, risk flags, and the automation-frontier report. Staff supervise an autonomous workforce; every correction they make is training signal.</w:t>
            </w:r>
          </w:p>
        </w:tc>
      </w:tr>
      <w:tr>
        <w:tc>
          <w:tcPr>
            <w:tcW w:type="dxa" w:w="22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Vendor Thread</w:t>
            </w:r>
          </w:p>
        </w:tc>
        <w:tc>
          <w:tcPr>
            <w:tcW w:type="dxa" w:w="18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Technicians &amp; suppliers</w:t>
            </w:r>
          </w:p>
        </w:tc>
        <w:tc>
          <w:tcPr>
            <w:tcW w:type="dxa" w:w="54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same conversational fabric: job offers with diagnosis, photos and access notes; one-tap accept; evidence upload by sending a photo; invoice submission in the thread. Rates and agreements are catalog data behind it. The “supplier portal” is a view of the same work graph.</w:t>
            </w:r>
          </w:p>
        </w:tc>
      </w:tr>
    </w:tbl>
    <w:p>
      <w:pPr>
        <w:spacing w:after="12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Three sides — tenant, operator, vendor — one system, one audit trail.</w:t>
      </w:r>
    </w:p>
    <w:p>
      <w:pPr>
        <w:pStyle w:val="Heading2"/>
        <w:spacing w:after="160" w:before="280"/>
      </w:pPr>
      <w:r>
        <w:t xml:space="preserve">2.1 The Thread leads, the tenant steers</w:t>
      </w:r>
    </w:p>
    <w:p>
      <w:pPr>
        <w:spacing w:after="160" w:line="276"/>
      </w:pPr>
      <w:r>
        <w:rPr>
          <w:rFonts w:ascii="Calibri" w:cs="Calibri" w:eastAsia="Calibri" w:hAnsi="Calibri"/>
          <w:sz w:val="22"/>
          <w:szCs w:val="22"/>
        </w:rPr>
        <w:t xml:space="preserve">The system initiates rather than waits — within an explicit Attention Contract set in the thread itself and changeable in one message:</w:t>
      </w:r>
    </w:p>
    <w:p>
      <w:pPr>
        <w:pStyle w:val="ListParagraph"/>
        <w:numPr>
          <w:ilvl w:val="0"/>
          <w:numId w:val="2"/>
        </w:numPr>
        <w:spacing w:after="100" w:line="276"/>
      </w:pPr>
      <w:r>
        <w:rPr>
          <w:rFonts w:ascii="Calibri" w:cs="Calibri" w:eastAsia="Calibri" w:hAnsi="Calibri"/>
          <w:b/>
          <w:bCs/>
          <w:sz w:val="22"/>
          <w:szCs w:val="22"/>
        </w:rPr>
        <w:t xml:space="preserve">Always: </w:t>
      </w:r>
      <w:r>
        <w:rPr>
          <w:rFonts w:ascii="Calibri" w:cs="Calibri" w:eastAsia="Calibri" w:hAnsi="Calibri"/>
          <w:sz w:val="22"/>
          <w:szCs w:val="22"/>
        </w:rPr>
        <w:t xml:space="preserve">things the tenant asked about (case status, visit confirmations) and things they must do (utility transfer at move-in, obligations with deadlines).</w:t>
      </w:r>
    </w:p>
    <w:p>
      <w:pPr>
        <w:pStyle w:val="ListParagraph"/>
        <w:numPr>
          <w:ilvl w:val="0"/>
          <w:numId w:val="2"/>
        </w:numPr>
        <w:spacing w:after="100" w:line="276"/>
      </w:pPr>
      <w:r>
        <w:rPr>
          <w:rFonts w:ascii="Calibri" w:cs="Calibri" w:eastAsia="Calibri" w:hAnsi="Calibri"/>
          <w:b/>
          <w:bCs/>
          <w:sz w:val="22"/>
          <w:szCs w:val="22"/>
        </w:rPr>
        <w:t xml:space="preserve">By choice: </w:t>
      </w:r>
      <w:r>
        <w:rPr>
          <w:rFonts w:ascii="Calibri" w:cs="Calibri" w:eastAsia="Calibri" w:hAnsi="Calibri"/>
          <w:sz w:val="22"/>
          <w:szCs w:val="22"/>
        </w:rPr>
        <w:t xml:space="preserve">everything more — seasonal maintenance offers, renewal heads-up, tips. Default is quiet; opting in is one message; the brand is respect.</w:t>
      </w:r>
    </w:p>
    <w:p>
      <w:pPr>
        <w:spacing w:after="160" w:line="276"/>
      </w:pPr>
      <w:r>
        <w:rPr>
          <w:rFonts w:ascii="Calibri" w:cs="Calibri" w:eastAsia="Calibri" w:hAnsi="Calibri"/>
          <w:sz w:val="22"/>
          <w:szCs w:val="22"/>
        </w:rPr>
        <w:t xml:space="preserve">Examples of the companion at work: a move-in walkthrough that carries the tenant through utility transfers with reminders until done; a pre-summer air-conditioner service offer before the breakdown; a renewal conversation opened at 90 days grounded in the tenant’s own clauses; an exit choreographed from notice validation to deposit-math transparency.</w:t>
      </w:r>
    </w:p>
    <w:p>
      <w:pPr>
        <w:pStyle w:val="Heading1"/>
        <w:spacing w:after="200" w:before="360"/>
      </w:pPr>
      <w:r>
        <w:t xml:space="preserve">3. Two Engines</w:t>
      </w:r>
    </w:p>
    <w:p>
      <w:pPr>
        <w:pStyle w:val="Heading2"/>
        <w:spacing w:after="160" w:before="280"/>
      </w:pPr>
      <w:r>
        <w:t xml:space="preserve">3.1 The Work Graph</w:t>
      </w:r>
    </w:p>
    <w:p>
      <w:pPr>
        <w:spacing w:after="160" w:line="276"/>
      </w:pPr>
      <w:r>
        <w:rPr>
          <w:rFonts w:ascii="Calibri" w:cs="Calibri" w:eastAsia="Calibri" w:hAnsi="Calibri"/>
          <w:sz w:val="22"/>
          <w:szCs w:val="22"/>
        </w:rPr>
        <w:t xml:space="preserve">The system of record: tenancies, assets, cases, jobs, commitments. Two live objects distinguish it from a ticketing tool:</w:t>
      </w:r>
    </w:p>
    <w:p>
      <w:pPr>
        <w:pStyle w:val="ListParagraph"/>
        <w:numPr>
          <w:ilvl w:val="0"/>
          <w:numId w:val="2"/>
        </w:numPr>
        <w:spacing w:after="100" w:line="276"/>
      </w:pPr>
      <w:r>
        <w:rPr>
          <w:rFonts w:ascii="Calibri" w:cs="Calibri" w:eastAsia="Calibri" w:hAnsi="Calibri"/>
          <w:b/>
          <w:bCs/>
          <w:sz w:val="22"/>
          <w:szCs w:val="22"/>
        </w:rPr>
        <w:t xml:space="preserve">The lease as a digital twin. </w:t>
      </w:r>
      <w:r>
        <w:rPr>
          <w:rFonts w:ascii="Calibri" w:cs="Calibri" w:eastAsia="Calibri" w:hAnsi="Calibri"/>
          <w:sz w:val="22"/>
          <w:szCs w:val="22"/>
        </w:rPr>
        <w:t xml:space="preserve">Extracted once into structured terms — dates, amounts, responsibilities, penalties, options — with every field traceable to its source clause. The twin powers answers, obligations, renewal drafts, deposit math, and the who-pays matrix for every fault type.</w:t>
      </w:r>
    </w:p>
    <w:p>
      <w:pPr>
        <w:pStyle w:val="ListParagraph"/>
        <w:numPr>
          <w:ilvl w:val="0"/>
          <w:numId w:val="2"/>
        </w:numPr>
        <w:spacing w:after="100" w:line="276"/>
      </w:pPr>
      <w:r>
        <w:rPr>
          <w:rFonts w:ascii="Calibri" w:cs="Calibri" w:eastAsia="Calibri" w:hAnsi="Calibri"/>
          <w:b/>
          <w:bCs/>
          <w:sz w:val="22"/>
          <w:szCs w:val="22"/>
        </w:rPr>
        <w:t xml:space="preserve">The asset registry with memory. </w:t>
      </w:r>
      <w:r>
        <w:rPr>
          <w:rFonts w:ascii="Calibri" w:cs="Calibri" w:eastAsia="Calibri" w:hAnsi="Calibri"/>
          <w:sz w:val="22"/>
          <w:szCs w:val="22"/>
        </w:rPr>
        <w:t xml:space="preserve">Every unit’s equipment accrues its history — faults, visits, parts, photos. After a year the system knows which building’s water heaters fail every January, which faults are self-serviceable, and that unit 14 reporting the same leak a third time is not a fault but an escalation. Reactive maintenance becomes predictive portfolio care — the largest cost lever in the system.</w:t>
      </w:r>
    </w:p>
    <w:p>
      <w:pPr>
        <w:pStyle w:val="Heading2"/>
        <w:spacing w:after="160" w:before="280"/>
      </w:pPr>
      <w:r>
        <w:t xml:space="preserve">3.2 The Intelligence Loop</w:t>
      </w:r>
    </w:p>
    <w:p>
      <w:pPr>
        <w:spacing w:after="160" w:line="276"/>
      </w:pPr>
      <w:r>
        <w:rPr>
          <w:rFonts w:ascii="Calibri" w:cs="Calibri" w:eastAsia="Calibri" w:hAnsi="Calibri"/>
          <w:sz w:val="22"/>
          <w:szCs w:val="22"/>
        </w:rPr>
        <w:t xml:space="preserve">The compounding layer. Nothing the system does is fire-and-forget:</w:t>
      </w:r>
    </w:p>
    <w:p>
      <w:pPr>
        <w:pStyle w:val="ListParagraph"/>
        <w:numPr>
          <w:ilvl w:val="0"/>
          <w:numId w:val="2"/>
        </w:numPr>
        <w:spacing w:after="100" w:line="276"/>
      </w:pPr>
      <w:r>
        <w:rPr>
          <w:rFonts w:ascii="Calibri" w:cs="Calibri" w:eastAsia="Calibri" w:hAnsi="Calibri"/>
          <w:sz w:val="22"/>
          <w:szCs w:val="22"/>
        </w:rPr>
        <w:t xml:space="preserve">Every resolved self-service case teaches the troubleshooting gate — the how-to catalog grows from what actually worked.</w:t>
      </w:r>
    </w:p>
    <w:p>
      <w:pPr>
        <w:pStyle w:val="ListParagraph"/>
        <w:numPr>
          <w:ilvl w:val="0"/>
          <w:numId w:val="2"/>
        </w:numPr>
        <w:spacing w:after="100" w:line="276"/>
      </w:pPr>
      <w:r>
        <w:rPr>
          <w:rFonts w:ascii="Calibri" w:cs="Calibri" w:eastAsia="Calibri" w:hAnsi="Calibri"/>
          <w:sz w:val="22"/>
          <w:szCs w:val="22"/>
        </w:rPr>
        <w:t xml:space="preserve">Every staff correction on the Command Room is labeled training data; the golden evaluation set grows from production, not from imagination.</w:t>
      </w:r>
    </w:p>
    <w:p>
      <w:pPr>
        <w:pStyle w:val="ListParagraph"/>
        <w:numPr>
          <w:ilvl w:val="0"/>
          <w:numId w:val="2"/>
        </w:numPr>
        <w:spacing w:after="100" w:line="276"/>
      </w:pPr>
      <w:r>
        <w:rPr>
          <w:rFonts w:ascii="Calibri" w:cs="Calibri" w:eastAsia="Calibri" w:hAnsi="Calibri"/>
          <w:sz w:val="22"/>
          <w:szCs w:val="22"/>
        </w:rPr>
        <w:t xml:space="preserve">Every fulfilment scores the vendor — acceptance rate, no-shows, time-to-fix, sign-off sentiment — so dispatch matures from “first accept” to “first accept among vendors who deserve the offer.”</w:t>
      </w:r>
    </w:p>
    <w:p>
      <w:pPr>
        <w:pStyle w:val="ListParagraph"/>
        <w:numPr>
          <w:ilvl w:val="0"/>
          <w:numId w:val="2"/>
        </w:numPr>
        <w:spacing w:after="100" w:line="276"/>
      </w:pPr>
      <w:r>
        <w:rPr>
          <w:rFonts w:ascii="Calibri" w:cs="Calibri" w:eastAsia="Calibri" w:hAnsi="Calibri"/>
          <w:sz w:val="22"/>
          <w:szCs w:val="22"/>
        </w:rPr>
        <w:t xml:space="preserve">Every exception carries a diagnosis of why automation stopped; the frontier report aggregates them: “these four question types caused 60% of escalations — teach me these and the zero-touch rate climbs 12 points.”</w:t>
      </w:r>
    </w:p>
    <w:p>
      <w:r>
        <w:br w:type="page"/>
      </w:r>
    </w:p>
    <w:p>
      <w:pPr>
        <w:pStyle w:val="Heading1"/>
        <w:spacing w:after="200" w:before="360"/>
      </w:pPr>
      <w:r>
        <w:t xml:space="preserve">4. The Governance Layer</w:t>
      </w:r>
    </w:p>
    <w:p>
      <w:pPr>
        <w:pStyle w:val="Heading2"/>
        <w:spacing w:after="160" w:before="280"/>
      </w:pPr>
      <w:r>
        <w:t xml:space="preserve">4.1 Money is read-only</w:t>
      </w:r>
    </w:p>
    <w:p>
      <w:pPr>
        <w:spacing w:after="160" w:line="276"/>
      </w:pPr>
      <w:r>
        <w:rPr>
          <w:rFonts w:ascii="Calibri" w:cs="Calibri" w:eastAsia="Calibri" w:hAnsi="Calibri"/>
          <w:sz w:val="22"/>
          <w:szCs w:val="22"/>
        </w:rPr>
        <w:t xml:space="preserve">A structural line, not a policy: </w:t>
      </w:r>
      <w:r>
        <w:rPr>
          <w:rFonts w:ascii="Calibri" w:cs="Calibri" w:eastAsia="Calibri" w:hAnsi="Calibri"/>
          <w:b/>
          <w:bCs/>
          <w:sz w:val="22"/>
          <w:szCs w:val="22"/>
        </w:rPr>
        <w:t xml:space="preserve">the system never executes a financial transaction.</w:t>
      </w:r>
      <w:r>
        <w:rPr>
          <w:rFonts w:ascii="Calibri" w:cs="Calibri" w:eastAsia="Calibri" w:hAnsi="Calibri"/>
          <w:sz w:val="22"/>
          <w:szCs w:val="22"/>
        </w:rPr>
        <w:t xml:space="preserve"> No charging, no billing, no collection, no payment rails — permanently, by design. Its full authority over money is:</w:t>
      </w:r>
    </w:p>
    <w:p>
      <w:pPr>
        <w:pStyle w:val="ListParagraph"/>
        <w:numPr>
          <w:ilvl w:val="0"/>
          <w:numId w:val="2"/>
        </w:numPr>
        <w:spacing w:after="100" w:line="276"/>
      </w:pPr>
      <w:r>
        <w:rPr>
          <w:rFonts w:ascii="Calibri" w:cs="Calibri" w:eastAsia="Calibri" w:hAnsi="Calibri"/>
          <w:b/>
          <w:bCs/>
          <w:sz w:val="22"/>
          <w:szCs w:val="22"/>
        </w:rPr>
        <w:t xml:space="preserve">Read: </w:t>
      </w:r>
      <w:r>
        <w:rPr>
          <w:rFonts w:ascii="Calibri" w:cs="Calibri" w:eastAsia="Calibri" w:hAnsi="Calibri"/>
          <w:sz w:val="22"/>
          <w:szCs w:val="22"/>
        </w:rPr>
        <w:t xml:space="preserve">financial history and balances (from the finance system) as context for answers — “your last invoice was sent on the 3rd; here it is again.”</w:t>
      </w:r>
    </w:p>
    <w:p>
      <w:pPr>
        <w:pStyle w:val="ListParagraph"/>
        <w:numPr>
          <w:ilvl w:val="0"/>
          <w:numId w:val="2"/>
        </w:numPr>
        <w:spacing w:after="100" w:line="276"/>
      </w:pPr>
      <w:r>
        <w:rPr>
          <w:rFonts w:ascii="Calibri" w:cs="Calibri" w:eastAsia="Calibri" w:hAnsi="Calibri"/>
          <w:b/>
          <w:bCs/>
          <w:sz w:val="22"/>
          <w:szCs w:val="22"/>
        </w:rPr>
        <w:t xml:space="preserve">Record: </w:t>
      </w:r>
      <w:r>
        <w:rPr>
          <w:rFonts w:ascii="Calibri" w:cs="Calibri" w:eastAsia="Calibri" w:hAnsi="Calibri"/>
          <w:sz w:val="22"/>
          <w:szCs w:val="22"/>
        </w:rPr>
        <w:t xml:space="preserve">consents — e.g., the tenant’s explicit agreement to a deductible before a visit is scheduled. The office bills; the system remembers who agreed to what, when.</w:t>
      </w:r>
    </w:p>
    <w:p>
      <w:pPr>
        <w:pStyle w:val="ListParagraph"/>
        <w:numPr>
          <w:ilvl w:val="0"/>
          <w:numId w:val="2"/>
        </w:numPr>
        <w:spacing w:after="100" w:line="276"/>
      </w:pPr>
      <w:r>
        <w:rPr>
          <w:rFonts w:ascii="Calibri" w:cs="Calibri" w:eastAsia="Calibri" w:hAnsi="Calibri"/>
          <w:b/>
          <w:bCs/>
          <w:sz w:val="22"/>
          <w:szCs w:val="22"/>
        </w:rPr>
        <w:t xml:space="preserve">Draft: </w:t>
      </w:r>
      <w:r>
        <w:rPr>
          <w:rFonts w:ascii="Calibri" w:cs="Calibri" w:eastAsia="Calibri" w:hAnsi="Calibri"/>
          <w:sz w:val="22"/>
          <w:szCs w:val="22"/>
        </w:rPr>
        <w:t xml:space="preserve">renewal terms from lease and policy, deposit-return math with clause citations — always handed to a human for the decision. The system does 95% of the work; the human contributes a click and the accountability.</w:t>
      </w:r>
    </w:p>
    <w:p>
      <w:pPr>
        <w:spacing w:after="160" w:line="276"/>
      </w:pPr>
      <w:r>
        <w:rPr>
          <w:rFonts w:ascii="Calibri" w:cs="Calibri" w:eastAsia="Calibri" w:hAnsi="Calibri"/>
          <w:sz w:val="22"/>
          <w:szCs w:val="22"/>
        </w:rPr>
        <w:t xml:space="preserve">Anything creating a financial or contractual obligation is gated to staff approval — no autonomy dial can override it. An agent that can inform about money but structurally cannot touch it is an easy thing to trust; arrears become informing with context and dignity, never collection in a thread the tenant lives in.</w:t>
      </w:r>
    </w:p>
    <w:p>
      <w:pPr>
        <w:pStyle w:val="Heading2"/>
        <w:spacing w:after="160" w:before="280"/>
      </w:pPr>
      <w:r>
        <w:t xml:space="preserve">4.2 The autonomy line</w:t>
      </w:r>
    </w:p>
    <w:p>
      <w:pPr>
        <w:spacing w:after="160" w:line="276"/>
      </w:pPr>
      <w:r>
        <w:rPr>
          <w:rFonts w:ascii="Calibri" w:cs="Calibri" w:eastAsia="Calibri" w:hAnsi="Calibri"/>
          <w:sz w:val="22"/>
          <w:szCs w:val="22"/>
        </w:rPr>
        <w:t xml:space="preserve">Operational actions (diagnose, gate through self-service, offer, schedule, remind, update, capture sign-off) run autonomously with full audit. Money and contract drafts are always gated (4.1). Outbound reputational actions (e.g., a correction sweep, Section 6) are staff-approved. The line is visible in the Command Room; nothing crosses it silently.</w:t>
      </w:r>
    </w:p>
    <w:p>
      <w:pPr>
        <w:pStyle w:val="Heading2"/>
        <w:spacing w:after="160" w:before="280"/>
      </w:pPr>
      <w:r>
        <w:t xml:space="preserve">4.3 The audit spine</w:t>
      </w:r>
    </w:p>
    <w:p>
      <w:pPr>
        <w:spacing w:after="160" w:line="276"/>
      </w:pPr>
      <w:r>
        <w:rPr>
          <w:rFonts w:ascii="Calibri" w:cs="Calibri" w:eastAsia="Calibri" w:hAnsi="Calibri"/>
          <w:sz w:val="22"/>
          <w:szCs w:val="22"/>
        </w:rPr>
        <w:t xml:space="preserve">Every action — human or agent — is attributed, immutable, and exportable. Autonomy without audit is liability; audit is also what makes trust repair (Section 6) possible at all, because the system knows every answer it ever gave.</w:t>
      </w:r>
    </w:p>
    <w:p>
      <w:pPr>
        <w:pStyle w:val="Heading1"/>
        <w:spacing w:after="200" w:before="360"/>
      </w:pPr>
      <w:r>
        <w:t xml:space="preserve">5. The Assistant: Identity and Voice</w:t>
      </w:r>
    </w:p>
    <w:p>
      <w:pPr>
        <w:spacing w:after="160" w:line="276"/>
      </w:pPr>
      <w:r>
        <w:rPr>
          <w:rFonts w:ascii="Calibri" w:cs="Calibri" w:eastAsia="Calibri" w:hAnsi="Calibri"/>
          <w:sz w:val="22"/>
          <w:szCs w:val="22"/>
        </w:rPr>
        <w:t xml:space="preserve">The agent is a </w:t>
      </w:r>
      <w:r>
        <w:rPr>
          <w:rFonts w:ascii="Calibri" w:cs="Calibri" w:eastAsia="Calibri" w:hAnsi="Calibri"/>
          <w:b/>
          <w:bCs/>
          <w:sz w:val="22"/>
          <w:szCs w:val="22"/>
        </w:rPr>
        <w:t xml:space="preserve">named assistant</w:t>
      </w:r>
      <w:r>
        <w:rPr>
          <w:rFonts w:ascii="Calibri" w:cs="Calibri" w:eastAsia="Calibri" w:hAnsi="Calibri"/>
          <w:sz w:val="22"/>
          <w:szCs w:val="22"/>
        </w:rPr>
        <w:t xml:space="preserve"> — a boring-trustworthy name in Dona Dom’s brand family (chosen with the client) — and it </w:t>
      </w:r>
      <w:r>
        <w:rPr>
          <w:rFonts w:ascii="Calibri" w:cs="Calibri" w:eastAsia="Calibri" w:hAnsi="Calibri"/>
          <w:b/>
          <w:bCs/>
          <w:sz w:val="22"/>
          <w:szCs w:val="22"/>
        </w:rPr>
        <w:t xml:space="preserve">always discloses that it is an AI assistant</w:t>
      </w:r>
      <w:r>
        <w:rPr>
          <w:rFonts w:ascii="Calibri" w:cs="Calibri" w:eastAsia="Calibri" w:hAnsi="Calibri"/>
          <w:sz w:val="22"/>
          <w:szCs w:val="22"/>
        </w:rPr>
        <w:t xml:space="preserve">: at first contact, and whenever asked. It never claims feelings and never pretends a human wrote its words. In a years-long thread, being caught pretending once poisons everything; disclosure costs nothing, because tenants care that the answer is right, cited, and fast — not who typed it.</w:t>
      </w:r>
    </w:p>
    <w:p>
      <w:pPr>
        <w:spacing w:after="160" w:line="276"/>
      </w:pPr>
      <w:r>
        <w:rPr>
          <w:rFonts w:ascii="Calibri" w:cs="Calibri" w:eastAsia="Calibri" w:hAnsi="Calibri"/>
          <w:sz w:val="22"/>
          <w:szCs w:val="22"/>
        </w:rPr>
        <w:t xml:space="preserve">The named identity earns its keep in two sentences the company voice cannot say cleanly: “I was wrong — the correct answer is…” (the assistant can err and be corrected without Dona Dom losing face) and “I can’t decide this — I’m passing it to the team” (graceful escalation with a clear grammatical subject).</w:t>
      </w:r>
    </w:p>
    <w:p>
      <w:pPr>
        <w:pStyle w:val="Heading2"/>
        <w:spacing w:after="160" w:before="280"/>
      </w:pPr>
      <w:r>
        <w:t xml:space="preserve">5.1 The voice, as a tested artifact</w:t>
      </w:r>
    </w:p>
    <w:p>
      <w:pPr>
        <w:pStyle w:val="ListParagraph"/>
        <w:numPr>
          <w:ilvl w:val="0"/>
          <w:numId w:val="2"/>
        </w:numPr>
        <w:spacing w:after="100" w:line="276"/>
      </w:pPr>
      <w:r>
        <w:rPr>
          <w:rFonts w:ascii="Calibri" w:cs="Calibri" w:eastAsia="Calibri" w:hAnsi="Calibri"/>
          <w:sz w:val="22"/>
          <w:szCs w:val="22"/>
        </w:rPr>
        <w:t xml:space="preserve">Everyday spoken Hebrew (and equivalent register per language) — never legalese, never customer-service theater.</w:t>
      </w:r>
    </w:p>
    <w:p>
      <w:pPr>
        <w:pStyle w:val="ListParagraph"/>
        <w:numPr>
          <w:ilvl w:val="0"/>
          <w:numId w:val="2"/>
        </w:numPr>
        <w:spacing w:after="100" w:line="276"/>
      </w:pPr>
      <w:r>
        <w:rPr>
          <w:rFonts w:ascii="Calibri" w:cs="Calibri" w:eastAsia="Calibri" w:hAnsi="Calibri"/>
          <w:sz w:val="22"/>
          <w:szCs w:val="22"/>
        </w:rPr>
        <w:t xml:space="preserve">Calm, brief, specific. No exclamation marks, no emoji, no apology loops — one precise acknowledgment beats three sorries.</w:t>
      </w:r>
    </w:p>
    <w:p>
      <w:pPr>
        <w:pStyle w:val="ListParagraph"/>
        <w:numPr>
          <w:ilvl w:val="0"/>
          <w:numId w:val="2"/>
        </w:numPr>
        <w:spacing w:after="100" w:line="276"/>
      </w:pPr>
      <w:r>
        <w:rPr>
          <w:rFonts w:ascii="Calibri" w:cs="Calibri" w:eastAsia="Calibri" w:hAnsi="Calibri"/>
          <w:sz w:val="22"/>
          <w:szCs w:val="22"/>
        </w:rPr>
        <w:t xml:space="preserve">Always says </w:t>
      </w:r>
      <w:r>
        <w:rPr>
          <w:rFonts w:ascii="Calibri" w:cs="Calibri" w:eastAsia="Calibri" w:hAnsi="Calibri"/>
          <w:b/>
          <w:bCs/>
          <w:sz w:val="22"/>
          <w:szCs w:val="22"/>
        </w:rPr>
        <w:t xml:space="preserve">what happens next and when</w:t>
      </w:r>
      <w:r>
        <w:rPr>
          <w:rFonts w:ascii="Calibri" w:cs="Calibri" w:eastAsia="Calibri" w:hAnsi="Calibri"/>
          <w:sz w:val="22"/>
          <w:szCs w:val="22"/>
        </w:rPr>
        <w:t xml:space="preserve"> (“a technician will confirm by 18:00”) — time-to-certainty as a speech habit.</w:t>
      </w:r>
    </w:p>
    <w:p>
      <w:pPr>
        <w:pStyle w:val="ListParagraph"/>
        <w:numPr>
          <w:ilvl w:val="0"/>
          <w:numId w:val="2"/>
        </w:numPr>
        <w:spacing w:after="100" w:line="276"/>
      </w:pPr>
      <w:r>
        <w:rPr>
          <w:rFonts w:ascii="Calibri" w:cs="Calibri" w:eastAsia="Calibri" w:hAnsi="Calibri"/>
          <w:sz w:val="22"/>
          <w:szCs w:val="22"/>
        </w:rPr>
        <w:t xml:space="preserve">Power-dynamic aware: this is the landlord’s agent addressing a person in their home — respectful, never condescending, never bureaucratically defensive.</w:t>
      </w:r>
    </w:p>
    <w:p>
      <w:pPr>
        <w:pStyle w:val="ListParagraph"/>
        <w:numPr>
          <w:ilvl w:val="0"/>
          <w:numId w:val="2"/>
        </w:numPr>
        <w:spacing w:after="100" w:line="276"/>
      </w:pPr>
      <w:r>
        <w:rPr>
          <w:rFonts w:ascii="Calibri" w:cs="Calibri" w:eastAsia="Calibri" w:hAnsi="Calibri"/>
          <w:sz w:val="22"/>
          <w:szCs w:val="22"/>
        </w:rPr>
        <w:t xml:space="preserve">The tone guide ships with worked examples per situation (fault, refusal, escalation, money context, bad news) and is owned like code: the golden set tests tone, not only correctness.</w:t>
      </w:r>
    </w:p>
    <w:p>
      <w:pPr>
        <w:pStyle w:val="Heading1"/>
        <w:spacing w:after="200" w:before="360"/>
      </w:pPr>
      <w:r>
        <w:t xml:space="preserve">6. Trust Repair — the Flagship</w:t>
      </w:r>
    </w:p>
    <w:p>
      <w:pPr>
        <w:spacing w:after="160" w:line="276"/>
      </w:pPr>
      <w:r>
        <w:rPr>
          <w:rFonts w:ascii="Calibri" w:cs="Calibri" w:eastAsia="Calibri" w:hAnsi="Calibri"/>
          <w:sz w:val="22"/>
          <w:szCs w:val="22"/>
        </w:rPr>
        <w:t xml:space="preserve">The assistant will sometimes be wrong. What happens next is a designed product flow, not an apology:</w:t>
      </w:r>
    </w:p>
    <w:p>
      <w:pPr>
        <w:pStyle w:val="ListParagraph"/>
        <w:numPr>
          <w:ilvl w:val="0"/>
          <w:numId w:val="2"/>
        </w:numPr>
        <w:spacing w:after="100" w:line="276"/>
      </w:pPr>
      <w:r>
        <w:rPr>
          <w:rFonts w:ascii="Calibri" w:cs="Calibri" w:eastAsia="Calibri" w:hAnsi="Calibri"/>
          <w:b/>
          <w:bCs/>
          <w:sz w:val="22"/>
          <w:szCs w:val="22"/>
        </w:rPr>
        <w:t xml:space="preserve">1 · Specific acknowledgment, in the thread. </w:t>
      </w:r>
      <w:r>
        <w:rPr>
          <w:rFonts w:ascii="Calibri" w:cs="Calibri" w:eastAsia="Calibri" w:hAnsi="Calibri"/>
          <w:sz w:val="22"/>
          <w:szCs w:val="22"/>
        </w:rPr>
        <w:t xml:space="preserve">“I told you the notice period is 60 days; your lease §8.2 says 90. The correct answer is 90 days.” The correction cites the source, names the error, replaces it. One message. It never blames the tenant, the phrasing, or “the system.”</w:t>
      </w:r>
    </w:p>
    <w:p>
      <w:pPr>
        <w:pStyle w:val="ListParagraph"/>
        <w:numPr>
          <w:ilvl w:val="0"/>
          <w:numId w:val="2"/>
        </w:numPr>
        <w:spacing w:after="100" w:line="276"/>
      </w:pPr>
      <w:r>
        <w:rPr>
          <w:rFonts w:ascii="Calibri" w:cs="Calibri" w:eastAsia="Calibri" w:hAnsi="Calibri"/>
          <w:b/>
          <w:bCs/>
          <w:sz w:val="22"/>
          <w:szCs w:val="22"/>
        </w:rPr>
        <w:t xml:space="preserve">2 · Propagation, same day. </w:t>
      </w:r>
      <w:r>
        <w:rPr>
          <w:rFonts w:ascii="Calibri" w:cs="Calibri" w:eastAsia="Calibri" w:hAnsi="Calibri"/>
          <w:sz w:val="22"/>
          <w:szCs w:val="22"/>
        </w:rPr>
        <w:t xml:space="preserve">The confirmed error becomes a golden-set case automatically — the staff correction on the Command Room is itself the labeling act. The release gate includes it forever: the same mistake is structurally impossible to ship twice.</w:t>
      </w:r>
    </w:p>
    <w:p>
      <w:pPr>
        <w:pStyle w:val="ListParagraph"/>
        <w:numPr>
          <w:ilvl w:val="0"/>
          <w:numId w:val="2"/>
        </w:numPr>
        <w:spacing w:after="100" w:line="276"/>
      </w:pPr>
      <w:r>
        <w:rPr>
          <w:rFonts w:ascii="Calibri" w:cs="Calibri" w:eastAsia="Calibri" w:hAnsi="Calibri"/>
          <w:b/>
          <w:bCs/>
          <w:sz w:val="22"/>
          <w:szCs w:val="22"/>
        </w:rPr>
        <w:t xml:space="preserve">3 · The retroactive sweep. </w:t>
      </w:r>
      <w:r>
        <w:rPr>
          <w:rFonts w:ascii="Calibri" w:cs="Calibri" w:eastAsia="Calibri" w:hAnsi="Calibri"/>
          <w:sz w:val="22"/>
          <w:szCs w:val="22"/>
        </w:rPr>
        <w:t xml:space="preserve">The audit spine knows every answer ever given. On a confirmed error, the system finds every tenant who received the same wrong answer and proposes a correction message to each — staff approve the sweep. No one else in this industry does this. It converts the scariest property of AI (“confidently wrong”) into the strongest trust claim available: when we are wrong, we find everyone we told, and we fix it.</w:t>
      </w:r>
    </w:p>
    <w:p>
      <w:pPr>
        <w:pStyle w:val="ListParagraph"/>
        <w:numPr>
          <w:ilvl w:val="0"/>
          <w:numId w:val="2"/>
        </w:numPr>
        <w:spacing w:after="100" w:line="276"/>
      </w:pPr>
      <w:r>
        <w:rPr>
          <w:rFonts w:ascii="Calibri" w:cs="Calibri" w:eastAsia="Calibri" w:hAnsi="Calibri"/>
          <w:b/>
          <w:bCs/>
          <w:sz w:val="22"/>
          <w:szCs w:val="22"/>
        </w:rPr>
        <w:t xml:space="preserve">4 · Root cause, visible. </w:t>
      </w:r>
      <w:r>
        <w:rPr>
          <w:rFonts w:ascii="Calibri" w:cs="Calibri" w:eastAsia="Calibri" w:hAnsi="Calibri"/>
          <w:sz w:val="22"/>
          <w:szCs w:val="22"/>
        </w:rPr>
        <w:t xml:space="preserve">Every correction is categorized — bad lease extraction, missing document, model error, stale policy — because each cause has a different fix. The Command Room shows corrections by cause, trending down.</w:t>
      </w:r>
    </w:p>
    <w:p>
      <w:r>
        <w:br w:type="page"/>
      </w:r>
    </w:p>
    <w:p>
      <w:pPr>
        <w:pStyle w:val="Heading1"/>
        <w:spacing w:after="200" w:before="360"/>
      </w:pPr>
      <w:r>
        <w:t xml:space="preserve">7. Boundaries — What This Product Is Not</w:t>
      </w:r>
    </w:p>
    <w:p>
      <w:pPr>
        <w:pStyle w:val="ListParagraph"/>
        <w:numPr>
          <w:ilvl w:val="0"/>
          <w:numId w:val="2"/>
        </w:numPr>
        <w:spacing w:after="100" w:line="276"/>
      </w:pPr>
      <w:r>
        <w:rPr>
          <w:rFonts w:ascii="Calibri" w:cs="Calibri" w:eastAsia="Calibri" w:hAnsi="Calibri"/>
          <w:b/>
          <w:bCs/>
          <w:sz w:val="22"/>
          <w:szCs w:val="22"/>
        </w:rPr>
        <w:t xml:space="preserve">Not a payment system, ever. </w:t>
      </w:r>
      <w:r>
        <w:rPr>
          <w:rFonts w:ascii="Calibri" w:cs="Calibri" w:eastAsia="Calibri" w:hAnsi="Calibri"/>
          <w:sz w:val="22"/>
          <w:szCs w:val="22"/>
        </w:rPr>
        <w:t xml:space="preserve">Read, record consent, draft — never execute (Section 4.1). Not deferred: excluded by design.</w:t>
      </w:r>
    </w:p>
    <w:p>
      <w:pPr>
        <w:pStyle w:val="ListParagraph"/>
        <w:numPr>
          <w:ilvl w:val="0"/>
          <w:numId w:val="2"/>
        </w:numPr>
        <w:spacing w:after="100" w:line="276"/>
      </w:pPr>
      <w:r>
        <w:rPr>
          <w:rFonts w:ascii="Calibri" w:cs="Calibri" w:eastAsia="Calibri" w:hAnsi="Calibri"/>
          <w:b/>
          <w:bCs/>
          <w:sz w:val="22"/>
          <w:szCs w:val="22"/>
        </w:rPr>
        <w:t xml:space="preserve">Not a leasing/CRM product. </w:t>
      </w:r>
      <w:r>
        <w:rPr>
          <w:rFonts w:ascii="Calibri" w:cs="Calibri" w:eastAsia="Calibri" w:hAnsi="Calibri"/>
          <w:sz w:val="22"/>
          <w:szCs w:val="22"/>
        </w:rPr>
        <w:t xml:space="preserve">The trust architecture assumes a verified occupant with a lease: identity is possession of the number on record; answers are grounded in their contract. Prospects have neither — leasing (marketing, tours, applicant scoring) is a different product for different users, and it stays out. The boundary is drawn at the </w:t>
      </w:r>
      <w:r>
        <w:rPr>
          <w:rFonts w:ascii="Calibri" w:cs="Calibri" w:eastAsia="Calibri" w:hAnsi="Calibri"/>
          <w:b/>
          <w:bCs/>
          <w:sz w:val="22"/>
          <w:szCs w:val="22"/>
        </w:rPr>
        <w:t xml:space="preserve">signature event, designed as a socket</w:t>
      </w:r>
      <w:r>
        <w:rPr>
          <w:rFonts w:ascii="Calibri" w:cs="Calibri" w:eastAsia="Calibri" w:hAnsi="Calibri"/>
          <w:sz w:val="22"/>
          <w:szCs w:val="22"/>
        </w:rPr>
        <w:t xml:space="preserve">: signed lease in → ingestion, extraction, verification enrollment, move-in choreography. Today the office feeds the socket; if a leasing tool ever exists, it plugs into the same socket and nothing inside changes. Renewals are not leasing: a renewal is an event of an existing verified tenancy — in scope, drafts gated.</w:t>
      </w:r>
    </w:p>
    <w:p>
      <w:pPr>
        <w:pStyle w:val="ListParagraph"/>
        <w:numPr>
          <w:ilvl w:val="0"/>
          <w:numId w:val="2"/>
        </w:numPr>
        <w:spacing w:after="100" w:line="276"/>
      </w:pPr>
      <w:r>
        <w:rPr>
          <w:rFonts w:ascii="Calibri" w:cs="Calibri" w:eastAsia="Calibri" w:hAnsi="Calibri"/>
          <w:b/>
          <w:bCs/>
          <w:sz w:val="22"/>
          <w:szCs w:val="22"/>
        </w:rPr>
        <w:t xml:space="preserve">Not an open marketplace. </w:t>
      </w:r>
      <w:r>
        <w:rPr>
          <w:rFonts w:ascii="Calibri" w:cs="Calibri" w:eastAsia="Calibri" w:hAnsi="Calibri"/>
          <w:sz w:val="22"/>
          <w:szCs w:val="22"/>
        </w:rPr>
        <w:t xml:space="preserve">Dispatch goes to an approved roster with scored history — vendors are known parties in the same audit trail, not gig workers.</w:t>
      </w:r>
    </w:p>
    <w:p>
      <w:pPr>
        <w:pStyle w:val="ListParagraph"/>
        <w:numPr>
          <w:ilvl w:val="0"/>
          <w:numId w:val="2"/>
        </w:numPr>
        <w:spacing w:after="100" w:line="276"/>
      </w:pPr>
      <w:r>
        <w:rPr>
          <w:rFonts w:ascii="Calibri" w:cs="Calibri" w:eastAsia="Calibri" w:hAnsi="Calibri"/>
          <w:b/>
          <w:bCs/>
          <w:sz w:val="22"/>
          <w:szCs w:val="22"/>
        </w:rPr>
        <w:t xml:space="preserve">Not a second brain. </w:t>
      </w:r>
      <w:r>
        <w:rPr>
          <w:rFonts w:ascii="Calibri" w:cs="Calibri" w:eastAsia="Calibri" w:hAnsi="Calibri"/>
          <w:sz w:val="22"/>
          <w:szCs w:val="22"/>
        </w:rPr>
        <w:t xml:space="preserve">The assistant acts only through the system’s documented commands, every call audited. Intelligence lives in the loop (Section 3.2), not in an unaccountable model doing side work.</w:t>
      </w:r>
    </w:p>
    <w:p>
      <w:pPr>
        <w:pStyle w:val="ListParagraph"/>
        <w:numPr>
          <w:ilvl w:val="0"/>
          <w:numId w:val="2"/>
        </w:numPr>
        <w:spacing w:after="100" w:line="276"/>
      </w:pPr>
      <w:r>
        <w:rPr>
          <w:rFonts w:ascii="Calibri" w:cs="Calibri" w:eastAsia="Calibri" w:hAnsi="Calibri"/>
          <w:b/>
          <w:bCs/>
          <w:sz w:val="22"/>
          <w:szCs w:val="22"/>
        </w:rPr>
        <w:t xml:space="preserve">Not a pretend human. </w:t>
      </w:r>
      <w:r>
        <w:rPr>
          <w:rFonts w:ascii="Calibri" w:cs="Calibri" w:eastAsia="Calibri" w:hAnsi="Calibri"/>
          <w:sz w:val="22"/>
          <w:szCs w:val="22"/>
        </w:rPr>
        <w:t xml:space="preserve">Disclosure is permanent (Section 5).</w:t>
      </w:r>
    </w:p>
    <w:p>
      <w:pPr>
        <w:pStyle w:val="Heading1"/>
        <w:spacing w:after="200" w:before="360"/>
      </w:pPr>
      <w:r>
        <w:t xml:space="preserve">8. Three Moments That Prove the Whole</w:t>
      </w:r>
    </w:p>
    <w:p>
      <w:pPr>
        <w:pStyle w:val="Heading2"/>
        <w:spacing w:after="160" w:before="280"/>
      </w:pPr>
      <w:r>
        <w:t xml:space="preserve">8.1 The 11 PM water heater</w:t>
      </w:r>
    </w:p>
    <w:p>
      <w:pPr>
        <w:spacing w:after="160" w:line="276"/>
      </w:pPr>
      <w:r>
        <w:rPr>
          <w:rFonts w:ascii="Calibri" w:cs="Calibri" w:eastAsia="Calibri" w:hAnsi="Calibri"/>
          <w:sz w:val="22"/>
          <w:szCs w:val="22"/>
        </w:rPr>
        <w:t xml:space="preserve">A tenant sends a photo at night. Verified sender → the asset is identified (unit 14’s heater, two prior visits) → a guided check fails to resolve → the deductible is quoted from catalog policy and consent recorded → the job is offered to three matching vendors → first accept wins → the visit lands in a window the tenant already approved → morning visit, photo evidence, sign-off in the thread. Staff involvement: zero. The Command Room shows it happened; nobody had to do anything. Zero-touch: +1.</w:t>
      </w:r>
    </w:p>
    <w:p>
      <w:pPr>
        <w:pStyle w:val="Heading2"/>
        <w:spacing w:after="160" w:before="280"/>
      </w:pPr>
      <w:r>
        <w:t xml:space="preserve">8.2 The 90-day renewal</w:t>
      </w:r>
    </w:p>
    <w:p>
      <w:pPr>
        <w:spacing w:after="160" w:line="276"/>
      </w:pPr>
      <w:r>
        <w:rPr>
          <w:rFonts w:ascii="Calibri" w:cs="Calibri" w:eastAsia="Calibri" w:hAnsi="Calibri"/>
          <w:sz w:val="22"/>
          <w:szCs w:val="22"/>
        </w:rPr>
        <w:t xml:space="preserve">The lease’s digital twin knows the date. For an opted-in tenant, the thread opens the conversation and answers every term question with clause citations. The system drafts a renewal offer from policy — and stops at the gate. Staff see the tenant’s context: payment history clean, sentiment positive, drafted terms attached. One approval; the thread continues. Money gated, work automated: thirty seconds of staff time instead of a week of phone tag.</w:t>
      </w:r>
    </w:p>
    <w:p>
      <w:pPr>
        <w:pStyle w:val="Heading2"/>
        <w:spacing w:after="160" w:before="280"/>
      </w:pPr>
      <w:r>
        <w:t xml:space="preserve">8.3 The January boiler</w:t>
      </w:r>
    </w:p>
    <w:p>
      <w:pPr>
        <w:spacing w:after="160" w:line="276"/>
      </w:pPr>
      <w:r>
        <w:rPr>
          <w:rFonts w:ascii="Calibri" w:cs="Calibri" w:eastAsia="Calibri" w:hAnsi="Calibri"/>
          <w:sz w:val="22"/>
          <w:szCs w:val="22"/>
        </w:rPr>
        <w:t xml:space="preserve">Asset memory: this building’s heaters fail every January, and four of twelve are past service age. In December the Command Room proposes a preventive sweep; staff approve the spend; opted-in tenants are offered slots in their threads. The fault that never happened is invisible — except in the cost-per-unit trend. This is the moment the client realizes they bought an operating system, not a chatbot.</w:t>
      </w:r>
    </w:p>
    <w:p>
      <w:pPr>
        <w:pStyle w:val="Heading1"/>
        <w:spacing w:after="200" w:before="360"/>
      </w:pPr>
      <w:r>
        <w:t xml:space="preserve">9. Decisions Behind This Vision</w:t>
      </w:r>
    </w:p>
    <w:p>
      <w:pPr>
        <w:spacing w:after="160" w:line="276"/>
      </w:pPr>
      <w:r>
        <w:rPr>
          <w:rFonts w:ascii="Calibri" w:cs="Calibri" w:eastAsia="Calibri" w:hAnsi="Calibri"/>
          <w:sz w:val="22"/>
          <w:szCs w:val="22"/>
        </w:rPr>
        <w:t xml:space="preserve">Recorded so future arguments do not relitigate them silently: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100"/>
      </w:tblGrid>
      <w:tr>
        <w:trPr>
          <w:tblHeader/>
        </w:trPr>
        <w:tc>
          <w:tcPr>
            <w:tcW w:type="dxa" w:w="30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Decision</w:t>
            </w:r>
          </w:p>
        </w:tc>
        <w:tc>
          <w:tcPr>
            <w:tcW w:type="dxa" w:w="33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Choice</w:t>
            </w:r>
          </w:p>
        </w:tc>
        <w:tc>
          <w:tcPr>
            <w:tcW w:type="dxa" w:w="3100"/>
            <w:shd w:fill="E8E1D6" w:color="auto" w:val="clear"/>
            <w:tcMar>
              <w:top w:type="dxa" w:w="80"/>
              <w:left w:type="dxa" w:w="120"/>
              <w:bottom w:type="dxa" w:w="80"/>
              <w:right w:type="dxa" w:w="120"/>
            </w:tcMar>
          </w:tcPr>
          <w:p>
            <w:pPr>
              <w:spacing w:after="40"/>
            </w:pPr>
            <w:r>
              <w:rPr>
                <w:rFonts w:ascii="Calibri" w:cs="Calibri" w:eastAsia="Calibri" w:hAnsi="Calibri"/>
                <w:b/>
                <w:bCs/>
                <w:sz w:val="20"/>
                <w:szCs w:val="20"/>
              </w:rPr>
              <w:t xml:space="preserve">Why</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System shape</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Operations system of record with an AI agent as its client; existing tools mirrored, not replaced.</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Contracts and audit around every agent action; channels and integrations stay swappable.</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North star</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Zero-touch resolution rate (gated items excluded from denominator).</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One number that settles design arguments; an autonomy curve, not a snapshot.</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Autonomy ceiling</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Ops autonomous; money and contract drafts always gated.</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Relentless about work, humble about obligations.</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Money</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Read-only + consent capture + drafts. Never executes a transaction — permanently.</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Structural untouchability is easier to trust than policy; removes a regulatory class of risk.</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Proactivity</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Tenant-controlled dial; default = status + hard obligations only.</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Attention Contract: respect is the brand.</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Persona</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Named AI assistant, always disclosed; never pretends to be human.</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 subject that can be wrong, be corrected, and escalate gracefully — without the company losing face.</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Trust repair</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Specific correction → same-day propagation → staff-approved retroactive sweep → root-cause reporting.</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Converts “confidently wrong” into the strongest trust claim in the market.</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Leasing</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Out of scope by design; the signature event is a designed socket. Renewals in scope.</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The moat is the verified, lease-grounded relationship; prospects have neither.</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Languages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Hebrew + English first; RU/FR/AR as data, not code.</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Prove answer quality before multiplying the localisation surface.</w:t>
            </w:r>
          </w:p>
        </w:tc>
      </w:tr>
      <w:tr>
        <w:tc>
          <w:tcPr>
            <w:tcW w:type="dxa" w:w="30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Vendors</w:t>
            </w:r>
          </w:p>
        </w:tc>
        <w:tc>
          <w:tcPr>
            <w:tcW w:type="dxa" w:w="33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Approved roster, scored by fulfilment history, living in the same conversational fabric.</w:t>
            </w:r>
          </w:p>
        </w:tc>
        <w:tc>
          <w:tcPr>
            <w:tcW w:type="dxa" w:w="3100"/>
            <w:tcMar>
              <w:top w:type="dxa" w:w="80"/>
              <w:left w:type="dxa" w:w="120"/>
              <w:bottom w:type="dxa" w:w="80"/>
              <w:right w:type="dxa" w:w="120"/>
            </w:tcMar>
          </w:tcPr>
          <w:p>
            <w:pPr>
              <w:spacing w:after="40"/>
            </w:pPr>
            <w:r>
              <w:rPr>
                <w:rFonts w:ascii="Calibri" w:cs="Calibri" w:eastAsia="Calibri" w:hAnsi="Calibri"/>
                <w:b w:val="false"/>
                <w:bCs w:val="false"/>
                <w:sz w:val="20"/>
                <w:szCs w:val="20"/>
              </w:rPr>
              <w:t xml:space="preserve">Three sides, one work graph, one audit trail.</w:t>
            </w:r>
          </w:p>
        </w:tc>
      </w:tr>
    </w:tbl>
    <w:p>
      <w:pPr>
        <w:spacing w:after="120"/>
      </w:pPr>
      <w:r>
        <w:rPr>
          <w:rFonts w:ascii="Calibri" w:cs="Calibri" w:eastAsia="Calibri" w:hAnsi="Calibri"/>
          <w:sz w:val="22"/>
          <w:szCs w:val="22"/>
        </w:rPr>
        <w:t xml:space="preserve"/>
      </w:r>
    </w:p>
    <w:p>
      <w:pPr>
        <w:spacing w:after="160" w:line="276"/>
      </w:pPr>
      <w:r>
        <w:rPr>
          <w:rFonts w:ascii="Calibri" w:cs="Calibri" w:eastAsia="Calibri" w:hAnsi="Calibri"/>
          <w:sz w:val="22"/>
          <w:szCs w:val="22"/>
        </w:rPr>
        <w:t xml:space="preserve">Relationship to the SRS: the SRS v0.1 specifies Phase A — the first slice of this vision (verified lease-grounded answering, the fault-to-fix loop, the Command Room’s foundation). Everything in this document that is not in the SRS is direction, not commitment; when the next phase is scoped, it is scoped from 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alibri" w:cs="Calibri" w:eastAsia="Calibri" w:hAnsi="Calibri"/>
      <w:b/>
      <w:bCs/>
      <w:color w:val="1F3B57"/>
      <w:sz w:val="32"/>
      <w:szCs w:val="32"/>
    </w:rPr>
  </w:style>
  <w:style w:type="paragraph" w:styleId="Heading2">
    <w:name w:val="Heading 2"/>
    <w:basedOn w:val="Normal"/>
    <w:next w:val="Normal"/>
    <w:qFormat/>
    <w:pPr>
      <w:spacing w:after="160" w:before="280"/>
    </w:pPr>
    <w:rPr>
      <w:rFonts w:ascii="Calibri" w:cs="Calibri" w:eastAsia="Calibri" w:hAnsi="Calibri"/>
      <w:b/>
      <w:bCs/>
      <w:color w:val="2E5E8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 The Tenancy Operating System for Dona Dom</dc:title>
  <dc:creator>Product vision working session</dc:creator>
  <cp:lastModifiedBy>Un-named</cp:lastModifiedBy>
  <cp:revision>1</cp:revision>
  <dcterms:created xsi:type="dcterms:W3CDTF">2026-08-19T12:10:27.316Z</dcterms:created>
  <dcterms:modified xsi:type="dcterms:W3CDTF">2026-08-19T12:10:27.317Z</dcterms:modified>
</cp:coreProperties>
</file>

<file path=docProps/custom.xml><?xml version="1.0" encoding="utf-8"?>
<Properties xmlns="http://schemas.openxmlformats.org/officeDocument/2006/custom-properties" xmlns:vt="http://schemas.openxmlformats.org/officeDocument/2006/docPropsVTypes"/>
</file>