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Cambria" w:cs="Cambria" w:eastAsia="Cambria" w:hAnsi="Cambria"/>
          <w:b/>
          <w:bCs/>
          <w:sz w:val="44"/>
          <w:szCs w:val="44"/>
        </w:rPr>
        <w:t xml:space="preserve">VORTEX TOPOLOGY
QUANTISATION</w:t>
      </w:r>
    </w:p>
    <w:p>
      <w:pPr>
        <w:spacing w:after="300" w:before="0" w:line="276"/>
        <w:jc w:val="center"/>
      </w:pPr>
      <w:r>
        <w:rPr>
          <w:rFonts w:ascii="Cambria" w:cs="Cambria" w:eastAsia="Cambria" w:hAnsi="Cambria"/>
          <w:color w:val="555555"/>
          <w:sz w:val="32"/>
          <w:szCs w:val="32"/>
        </w:rPr>
        <w:t xml:space="preserve">The Mass Spectrum from Convergent Pressure</w:t>
      </w:r>
    </w:p>
    <w:p>
      <w:pPr>
        <w:spacing w:after="600" w:before="0" w:line="276"/>
        <w:jc w:val="center"/>
      </w:pPr>
      <w:r>
        <w:rPr>
          <w:rFonts w:ascii="Cambria" w:cs="Cambria" w:eastAsia="Cambria" w:hAnsi="Cambria"/>
          <w:i/>
          <w:iCs/>
          <w:color w:val="777777"/>
          <w:sz w:val="24"/>
          <w:szCs w:val="24"/>
        </w:rPr>
        <w:t xml:space="preserve">Spatial Displacement Theory — Law VI</w:t>
      </w:r>
    </w:p>
    <w:p>
      <w:pPr>
        <w:spacing w:after="40" w:before="0" w:line="276"/>
        <w:jc w:val="center"/>
      </w:pPr>
      <w:r>
        <w:rPr>
          <w:rFonts w:ascii="Cambria" w:cs="Cambria" w:eastAsia="Cambria" w:hAnsi="Cambria"/>
          <w:sz w:val="24"/>
          <w:szCs w:val="24"/>
        </w:rPr>
        <w:t xml:space="preserve">James Tyndall</w:t>
      </w:r>
    </w:p>
    <w:p>
      <w:pPr>
        <w:spacing w:after="40" w:before="0" w:line="276"/>
        <w:jc w:val="center"/>
      </w:pPr>
      <w:r>
        <w:rPr>
          <w:rFonts w:ascii="Cambria" w:cs="Cambria" w:eastAsia="Cambria" w:hAnsi="Cambria"/>
          <w:color w:val="777777"/>
          <w:sz w:val="22"/>
          <w:szCs w:val="22"/>
        </w:rPr>
        <w:t xml:space="preserve">Melbourne, Australia</w:t>
      </w:r>
    </w:p>
    <w:p>
      <w:pPr>
        <w:spacing w:after="400" w:before="0" w:line="276"/>
        <w:jc w:val="center"/>
      </w:pPr>
      <w:r>
        <w:rPr>
          <w:rFonts w:ascii="Cambria" w:cs="Cambria" w:eastAsia="Cambria" w:hAnsi="Cambria"/>
          <w:color w:val="777777"/>
          <w:sz w:val="22"/>
          <w:szCs w:val="22"/>
        </w:rPr>
        <w:t xml:space="preserve">March 2026</w:t>
      </w:r>
    </w:p>
    <w:p>
      <w:pPr>
        <w:spacing w:after="120" w:before="0" w:line="276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Four conditions—toroidal closure, circulation quantisation, the movement budget, and marginal stability—determine the allowed masses of displacement vortices. The fundamental scale M₀ ≈ 1 TeV emerges from the convergent pressure of the medium combined with ħ and c. This is the electroweak scale, derived from cosmology. All known particles are high-winding topologies below this ceiling.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1. The Four Quantisation Conditions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 displacement vortex is a self-sustaining toroidal circulation in the spation lattice. It has major radius R (distance from torus centre to tube centre), minor radius a (tube cross-section), and two independent circulations: poloidal (v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" w:cs="Cambria" w:eastAsia="Cambria" w:hAnsi="Cambria"/>
          <w:sz w:val="22"/>
          <w:szCs w:val="22"/>
        </w:rPr>
        <w:t xml:space="preserve">, around the tube) and toroidal (v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" w:cs="Cambria" w:eastAsia="Cambria" w:hAnsi="Cambria"/>
          <w:sz w:val="22"/>
          <w:szCs w:val="22"/>
        </w:rPr>
        <w:t xml:space="preserve">, around the major axis). A flow line executes p poloidal turns per q toroidal turns, tracing a (p,q) torus knot. Four conditions determine the stable configurations.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Condition I — Toroidal Closure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flow must close on itself. This requires p and q to be coprime positive integers: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gcd(p, q) = 1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(I)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If gcd &gt; 1, the flow traces multiple disjoint loops rather than a single closed knot.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Condition II — Circulation Quantisation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circulation around any closed path is quantised in units of h/m: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· 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ħ/(mp)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(II.a)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 · 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ħ/(mq)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(II.b)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These are the fundamental (n = 1) modes. The quantisation arises from the requirement that the deformation pattern be single-valued after one complete circuit.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Condition III — Movement Budget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From Theorem 10 (Law V), the total deformation velocity at the vortex boundary equals c: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+ 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(III)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Condition IV — Marginal Stability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From the proven marginal stability (§6 of the Gap Resolution), the centrifugal pressure balances the convergent pressure: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eff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/3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(IV)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where 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eff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2m/V</w:t>
      </w:r>
      <w:r>
        <w:rPr>
          <w:rFonts w:ascii="Cambria" w:cs="Cambria" w:eastAsia="Cambria" w:hAnsi="Cambria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 = 2π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Ra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sz w:val="22"/>
          <w:szCs w:val="22"/>
        </w:rPr>
        <w:t xml:space="preserve"> is the torus volume.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2. Parametric Solution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Parametrise the velocity partition: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c cosθ,     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c sinθ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(2.1)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which satisfies (III) identically. Define the Compton wavelength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ħ/(mc)</w:t>
      </w:r>
      <w:r>
        <w:rPr>
          <w:rFonts w:ascii="Cambria" w:cs="Cambria" w:eastAsia="Cambria" w:hAnsi="Cambria"/>
          <w:sz w:val="22"/>
          <w:szCs w:val="22"/>
        </w:rPr>
        <w:t xml:space="preserve">. Then from (II):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=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/(p cosθ)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(2.2)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 =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/(q sinθ)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(2.3)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aspect ratio: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 = R/a = (p/q) cotθ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(2.4)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3. Derivation of the Mass Formula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Theorem (Vortex Mass). </w:t>
      </w:r>
      <w:r>
        <w:rPr>
          <w:rFonts w:ascii="Cambria" w:cs="Cambria" w:eastAsia="Cambria" w:hAnsi="Cambria"/>
          <w:sz w:val="22"/>
          <w:szCs w:val="22"/>
        </w:rPr>
        <w:t xml:space="preserve">A stable (p,q) torus-knot vortex in the convergent relay lattice has mass: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m(p,q) =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/ (p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(T18)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where the fundamental mass scale is: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[π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√3 / (2c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)]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(T18′)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Proof.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1. </w:t>
      </w:r>
      <w:r>
        <w:rPr>
          <w:rFonts w:ascii="Cambria" w:cs="Cambria" w:eastAsia="Cambria" w:hAnsi="Cambria"/>
          <w:sz w:val="22"/>
          <w:szCs w:val="22"/>
        </w:rPr>
        <w:t xml:space="preserve">Substitute the parametric solution into (IV). The torus volume: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 = 2π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Ra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2π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/(q sinθ · 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(3.1)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2. </w:t>
      </w:r>
      <w:r>
        <w:rPr>
          <w:rFonts w:ascii="Cambria" w:cs="Cambria" w:eastAsia="Cambria" w:hAnsi="Cambria"/>
          <w:sz w:val="22"/>
          <w:szCs w:val="22"/>
        </w:rPr>
        <w:t xml:space="preserve">The effective density: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eff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2m/V = mp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sinθ / (π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(3.2)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3. </w:t>
      </w:r>
      <w:r>
        <w:rPr>
          <w:rFonts w:ascii="Cambria" w:cs="Cambria" w:eastAsia="Cambria" w:hAnsi="Cambria"/>
          <w:sz w:val="22"/>
          <w:szCs w:val="22"/>
        </w:rPr>
        <w:t xml:space="preserve">Apply (IV): 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eff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/3</w:t>
      </w:r>
      <w:r>
        <w:rPr>
          <w:rFonts w:ascii="Cambria" w:cs="Cambria" w:eastAsia="Cambria" w:hAnsi="Cambria"/>
          <w:sz w:val="22"/>
          <w:szCs w:val="22"/>
        </w:rPr>
        <w:t xml:space="preserve">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 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sinθ · 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/ (π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 =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/3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(3.3)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4. </w:t>
      </w:r>
      <w:r>
        <w:rPr>
          <w:rFonts w:ascii="Cambria" w:cs="Cambria" w:eastAsia="Cambria" w:hAnsi="Cambria"/>
          <w:sz w:val="22"/>
          <w:szCs w:val="22"/>
        </w:rPr>
        <w:t xml:space="preserve">Using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ħ/(mc)</w:t>
      </w:r>
      <w:r>
        <w:rPr>
          <w:rFonts w:ascii="Cambria" w:cs="Cambria" w:eastAsia="Cambria" w:hAnsi="Cambria"/>
          <w:sz w:val="22"/>
          <w:szCs w:val="22"/>
        </w:rPr>
        <w:t xml:space="preserve">, substitute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/(m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</w:t>
      </w:r>
      <w:r>
        <w:rPr>
          <w:rFonts w:ascii="Cambria" w:cs="Cambria" w:eastAsia="Cambria" w:hAnsi="Cambria"/>
          <w:sz w:val="22"/>
          <w:szCs w:val="22"/>
        </w:rPr>
        <w:t xml:space="preserve">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sinθ / (π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 =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/3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(3.4)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5. </w:t>
      </w:r>
      <w:r>
        <w:rPr>
          <w:rFonts w:ascii="Cambria" w:cs="Cambria" w:eastAsia="Cambria" w:hAnsi="Cambria"/>
          <w:sz w:val="22"/>
          <w:szCs w:val="22"/>
        </w:rPr>
        <w:t xml:space="preserve">Solve for m: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/ (3c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sinθ)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(3.5)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6. </w:t>
      </w:r>
      <w:r>
        <w:rPr>
          <w:rFonts w:ascii="Cambria" w:cs="Cambria" w:eastAsia="Cambria" w:hAnsi="Cambria"/>
          <w:sz w:val="22"/>
          <w:szCs w:val="22"/>
        </w:rPr>
        <w:t xml:space="preserve">Minimise m (energy minimum) by maximising g(θ) =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sinθ</w:t>
      </w:r>
      <w:r>
        <w:rPr>
          <w:rFonts w:ascii="Cambria" w:cs="Cambria" w:eastAsia="Cambria" w:hAnsi="Cambria"/>
          <w:sz w:val="22"/>
          <w:szCs w:val="22"/>
        </w:rPr>
        <w:t xml:space="preserve">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g′(θ) = cosθ(1 − 3sin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θ) = 0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(3.6)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sin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θ* = 1/3,     cos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θ* = 2/3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(3.7)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g(θ*) = (2/3)(1/√3) = 2/(3√3)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(3.8)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Step 7. </w:t>
      </w:r>
      <w:r>
        <w:rPr>
          <w:rFonts w:ascii="Cambria" w:cs="Cambria" w:eastAsia="Cambria" w:hAnsi="Cambria"/>
          <w:sz w:val="22"/>
          <w:szCs w:val="22"/>
        </w:rPr>
        <w:t xml:space="preserve">Substitute g(θ*) into (3.5):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√3 / (2c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(3.9)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m(p,q) = [π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ħ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√3/(2c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)]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/ (p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</w:p>
    <w:p>
      <w:pPr>
        <w:spacing w:after="120" w:before="0" w:line="276"/>
        <w:jc w:val="right"/>
      </w:pPr>
      <w:r>
        <w:rPr>
          <w:rFonts w:ascii="Cambria Math" w:cs="Cambria Math" w:eastAsia="Cambria Math" w:hAnsi="Cambria Math"/>
          <w:sz w:val="22"/>
          <w:szCs w:val="22"/>
        </w:rPr>
        <w:t xml:space="preserve">∎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4. The Fundamental Mass Scale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Numerical evaluation: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[π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× (1.055 × 10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−34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× 2.459 × 10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48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× √3 / (2 × (2.998 × 10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8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5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)]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(4.1)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1.786 × 10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−24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kg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(4.2)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1002 GeV ≈ 1 TeV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(4.3)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This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the electroweak scale</w:t>
      </w:r>
      <w:r>
        <w:rPr>
          <w:rFonts w:ascii="Cambria" w:cs="Cambria" w:eastAsia="Cambria" w:hAnsi="Cambria"/>
          <w:sz w:val="22"/>
          <w:szCs w:val="22"/>
        </w:rPr>
        <w:t xml:space="preserve">. The fundamental vortex mass, determined entirely by the cosmological convergence pressure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" w:cs="Cambria" w:eastAsia="Cambria" w:hAnsi="Cambria"/>
          <w:sz w:val="22"/>
          <w:szCs w:val="22"/>
        </w:rPr>
        <w:t xml:space="preserve"> and the lattice constants ħ and c, sits at the energy scale where electroweak symmetry breaking occurs in the Standard Model.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For comparison: the Higgs vacuum expectation value is 246 GeV, the top quark mass is 173 GeV, the Higgs boson mass is 125 GeV.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≈ 1002 GeV is the ceiling of this regime.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4.1 The Stable Budget Angle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At the energy minimum, the velocity partition is: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/c = √(2/3) = 0.8165</w:t>
      </w:r>
      <w:r>
        <w:rPr>
          <w:rFonts w:ascii="Cambria" w:cs="Cambria" w:eastAsia="Cambria" w:hAnsi="Cambria"/>
          <w:sz w:val="22"/>
          <w:szCs w:val="22"/>
        </w:rPr>
        <w:t xml:space="preserve">     (poloidal)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(4.4)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/c = 1/√3 = 0.5774</w:t>
      </w:r>
      <w:r>
        <w:rPr>
          <w:rFonts w:ascii="Cambria" w:cs="Cambria" w:eastAsia="Cambria" w:hAnsi="Cambria"/>
          <w:sz w:val="22"/>
          <w:szCs w:val="22"/>
        </w:rPr>
        <w:t xml:space="preserve">     (toroidal)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(4.5)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/v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√2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(4.6)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poloidal circulation carries twice the kinetic energy of the toroidal (since KE ∝ v², the ratio is 2:1). The stable vortex rotates faster around its tube than around its axis.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5. The Mass Hierarchy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5.1 Spectrum Structure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mass formula m =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/(p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" w:cs="Cambria" w:eastAsia="Cambria" w:hAnsi="Cambria"/>
          <w:sz w:val="22"/>
          <w:szCs w:val="22"/>
        </w:rPr>
        <w:t xml:space="preserve"> means: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Higher winding numbers → lighter particle.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(1,1) vortex at ~1 TeV is the heaviest stable topology. Every other particle is lighter because it has more topological winding. The mass hierarchy is a winding hierarchy.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5.2 Low-Winding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4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(p,q)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p²q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 (GeV)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1002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Fundamental mode — TeV ceiling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843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761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(2,1) = (1,4)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709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Degenerate pair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670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640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(3,1)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578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(2,3)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538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(4,1)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501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(5,1)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448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(6,1)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409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(7,1)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379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5.3 Known Particles in the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400"/>
        <w:gridCol w:w="39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Particle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 (GeV)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p²q needed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top quark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173.1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1.12 × 10³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Higgs boson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125.1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4.12 × 10³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Low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Z boson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91.2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1.46 × 10⁴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Moderate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W boson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80.4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2.41 × 10⁴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Moderate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tau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1.777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1.01 × 10¹¹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proton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0.938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1.30 × 10¹²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pion±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0.140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2.66 × 10¹⁵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Very high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muon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0.106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8.09 × 10¹⁵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Very high winding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electron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0.000511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1.48 × 10²⁵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Extreme winding</w:t>
            </w:r>
          </w:p>
        </w:tc>
      </w:tr>
    </w:tbl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particle mass spectrum spans 25 orders of magnitude in topological complexity (p²q). The electron, the lightest charged particle, has the most elaborate topology: ~10²⁵ winding units. The top quark, the heaviest known fermion, is among the simplest: ~10³ winding units.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6. Physical Interpretation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6.1 The TeV Ceiling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No stable vortex can have mass exceeding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≈ 1 TeV, because the (1,1) mode is the minimum-winding topology. Any attempt to compress more energy into a single circulation pattern either increases the winding (reducing mass) or exceeds the pressure balance (causing collapse). This explains why particle physics encounters no stable fundamental particles above the TeV scale.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6.2 Complexity Means Lightness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In the SDT vortex picture, the electron is the most topologically complex stable particle. Its ~10²⁵ winding units distribute the circulation energy over an enormously long path, reducing the energy density per unit volume and therefore the mass. The proton, with ~10¹² windings, is simpler and heavier. The top quark, with ~10³ windings, is simpler still and heaviest of all.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This inverts the naïve intuition that heavier means more complex. In a convergent pressure medium, heaviness means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compactness</w:t>
      </w:r>
      <w:r>
        <w:rPr>
          <w:rFonts w:ascii="Cambria" w:cs="Cambria" w:eastAsia="Cambria" w:hAnsi="Cambria"/>
          <w:sz w:val="22"/>
          <w:szCs w:val="22"/>
        </w:rPr>
        <w:t xml:space="preserve">—fewer turns, shorter path, higher energy density. Lightness means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elaborateness</w:t>
      </w:r>
      <w:r>
        <w:rPr>
          <w:rFonts w:ascii="Cambria" w:cs="Cambria" w:eastAsia="Cambria" w:hAnsi="Cambria"/>
          <w:sz w:val="22"/>
          <w:szCs w:val="22"/>
        </w:rPr>
        <w:t xml:space="preserve">—more turns, longer path, lower energy density.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6.3 The Mass Ratio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proton-electron mass ratio is: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[(p²q)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/(p²q)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]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1836.15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(6.1)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Therefore: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(p²q)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/(p²q)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1836.15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= 1.137 × 10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13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(6.2)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electron has 10¹³ times more topological complexity than the proton. The enormous charge-to-mass ratio of the electron (compared to the proton) reflects this: both carry one quantum of charge, but the electron distributes its circulation over vastly more turns.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7. Sensitivity to Cosmological Parameters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mass scale depends on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" w:cs="Cambria" w:eastAsia="Cambria" w:hAnsi="Cambria"/>
          <w:sz w:val="22"/>
          <w:szCs w:val="22"/>
        </w:rPr>
        <w:t xml:space="preserve"> as the fourth root: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∝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∝ (R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CMB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/ℓ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1/4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∝ H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−1/4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(7.1)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Hubble tension (H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= 67–73 km/s/Mpc) maps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H₀ (km/s/Mpc)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M₀ (GeV)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67.0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1006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Planck CMB measurement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68.0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1002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Reference value used here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70.0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995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73.0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984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SH0ES distance ladder</w:t>
            </w:r>
          </w:p>
        </w:tc>
      </w:tr>
    </w:tbl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ranges from 984 to 1006 GeV across the Hubble tension. All values are firmly in the TeV regime. The electroweak connection is robust against the H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uncertainty.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8. Geometric Properties</w:t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At the stable budget angle, the torus radii are: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=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√(3/2) / p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(8.1)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 = 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√3 / q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(8.2)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 = R/a = (p/q)√2</w:t>
      </w:r>
      <w:r>
        <w:rPr>
          <w:rFonts w:ascii="Cambria" w:cs="Cambria" w:eastAsia="Cambria" w:hAnsi="Cambria"/>
          <w:sz w:val="22"/>
          <w:szCs w:val="22"/>
        </w:rPr>
        <w:t xml:space="preserve">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(8.3)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600"/>
        <w:gridCol w:w="1600"/>
        <w:gridCol w:w="1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(p,q)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 (GeV)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λ_C (m)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 (m)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 (m)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η = R/a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1002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1.97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2.41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3.41 × 10⁻¹⁹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1.414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(2,1)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709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2.79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1.71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4.82 × 10⁻¹⁹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2.828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(1,2)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843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2.34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2.87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2.03 × 10⁻¹⁹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0.707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(3,1)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578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3.41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1.39 × 10⁻¹⁹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5.91 × 10⁻¹⁹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4.243</w:t>
            </w:r>
          </w:p>
        </w:tc>
      </w:tr>
    </w:tbl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All radii are at the 10⁻¹⁹ m scale for low-winding vortices—comfortably above the Planck length (10⁻³⁵ m) and below the nuclear scale (10⁻¹⁵ m). The vortex is a mesoscopic structure spanning ~10¹⁶ spations across.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9. Summary and Derivation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Mass formula m(p,q) = M₀/(p²q)^{1/4}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DERIVED from four quantisation conditions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Budget angle θ* = arcsin(1/√3)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DERIVED from energy minimisation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Velocity ratio v_p/v_t = √2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DERIVED from θ*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M₀ ≈ 1002 GeV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COMPUTED from P_conv, ħ, c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TeV ceiling on particle masses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PREDICTED (fundamental mode limit)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Mass hierarchy = winding hierarchy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PREDICTED (higher winding = lighter)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Electroweak scale from cosmology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PREDICTED (M₀ ≈ 1 TeV)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Specific (p,q) for proton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OPEN (needs stability selection)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Specific (p,q) for electron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OPEN (needs stability selection)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Neutron-proton splitting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both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OPEN (needs internal electron)</w:t>
            </w:r>
          </w:p>
        </w:tc>
      </w:tr>
    </w:tbl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The vortex topology quantisation derives a discrete mass spectrum from the convergent pressure of the medium. The fundamental scale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sz w:val="22"/>
          <w:szCs w:val="22"/>
        </w:rPr>
        <w:t xml:space="preserve"> ≈ 1 TeV emerges from 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conv</w:t>
      </w:r>
      <w:r>
        <w:rPr>
          <w:rFonts w:ascii="Cambria" w:cs="Cambria" w:eastAsia="Cambria" w:hAnsi="Cambria"/>
          <w:sz w:val="22"/>
          <w:szCs w:val="22"/>
        </w:rPr>
        <w:t xml:space="preserve">, ħ, and c with no free parameters. The electroweak scale—the energy frontier of particle physics—is a prediction of the cosmological relay throughput law. Every known particle sits below this ceiling as a high-winding topology in the same medium under the same pressure.</w:t>
      </w:r>
    </w:p>
    <w:p>
      <w:pPr>
        <w:spacing w:after="60" w:before="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Position in the SDT law sequence: </w:t>
      </w:r>
      <w:r>
        <w:rPr>
          <w:rFonts w:ascii="Cambria" w:cs="Cambria" w:eastAsia="Cambria" w:hAnsi="Cambria"/>
          <w:sz w:val="22"/>
          <w:szCs w:val="22"/>
        </w:rPr>
        <w:t xml:space="preserve">Law VI. Extends Laws I–V by quantising the displacement topologies that Laws III–V treat as given. The mass formula completes the chain: cosmological boundary condition → convergent pressure → stable vortex mass → force law → movement budget → all of physics.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999999"/>
        <w:sz w:val="18"/>
        <w:szCs w:val="18"/>
      </w:rPr>
      <w:t xml:space="preserve">Page </w:t>
    </w:r>
    <w:r>
      <w:rPr>
        <w:rFonts w:ascii="Cambria" w:cs="Cambria" w:eastAsia="Cambria" w:hAnsi="Cambr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276"/>
      <w:jc w:val="right"/>
    </w:pPr>
    <w:r>
      <w:rPr>
        <w:rFonts w:ascii="Cambria" w:cs="Cambria" w:eastAsia="Cambria" w:hAnsi="Cambria"/>
        <w:i/>
        <w:iCs/>
        <w:color w:val="999999"/>
        <w:sz w:val="18"/>
        <w:szCs w:val="18"/>
      </w:rPr>
      <w:t xml:space="preserve">SDT Law VI: Vortex Topology Quantisation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mbria" w:cs="Cambria" w:eastAsia="Cambria" w:hAnsi="Cambria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2026-03-30T11:07:43.596Z</dcterms:created>
  <dcterms:modified xsi:type="dcterms:W3CDTF">2026-03-30T11:07:43.597Z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