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SDT Traction, Wake, and Toroidal Error-Correction Framework</w:t>
      </w:r>
    </w:p>
    <w:p>
      <w:pPr>
        <w:pStyle w:val="SubtitleCustom"/>
        <w:jc w:val="center"/>
      </w:pPr>
      <w:r>
        <w:t>Mathematical synthesis of the boundary-contact mechanism, wake-conditioned propagation, and modal fault tolerance discussed in the current reasoning chain.</w:t>
      </w:r>
    </w:p>
    <w:tbl>
      <w:tblPr>
        <w:tblW w:type="auto" w:w="0"/>
        <w:jc w:val="center"/>
        <w:tblLayout w:type="fixed"/>
        <w:tblLook w:firstColumn="1" w:firstRow="1" w:lastColumn="0" w:lastRow="0" w:noHBand="0" w:noVBand="1" w:val="04A0"/>
      </w:tblPr>
      <w:tblGrid>
        <w:gridCol w:w="9360"/>
      </w:tblGrid>
      <w:tr>
        <w:tc>
          <w:tcPr>
            <w:tcW w:type="dxa" w:w="9792"/>
            <w:vAlign w:val="center"/>
            <w:shd w:fill="EEF4FF"/>
          </w:tcPr>
          <w:p>
            <w:pPr>
              <w:spacing w:before="0" w:after="0" w:line="240" w:lineRule="auto"/>
            </w:pPr>
            <w:r>
              <w:rPr>
                <w:b/>
                <w:sz w:val="17"/>
              </w:rPr>
              <w:t>Working thesis. Matter is not an occupant of space but a persistent exclusion of spations. The central problem is therefore a traction problem: how a pressured, perfectly transmitting medium can be continuously deflected at the boundary of matter and exploited into stable self-maintenance. The toroidal architecture is reintroduced here not as a toy geometry, but as a candidate modal machine for converting convergent influx into spin, axial directionality, error correction, and wake-conditioned interaction.</w:t>
            </w:r>
          </w:p>
        </w:tc>
      </w:tr>
    </w:tbl>
    <w:p>
      <w:pPr>
        <w:pStyle w:val="Heading1Custom"/>
      </w:pPr>
      <w:r>
        <w:t>1. Core Variables and Meanings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pPr>
              <w:spacing w:after="0" w:before="0" w:line="240" w:lineRule="auto"/>
            </w:pPr>
            <w:r>
              <w:rPr>
                <w:sz w:val="18"/>
              </w:rPr>
              <w:t>Symbol</w:t>
            </w:r>
          </w:p>
        </w:tc>
        <w:tc>
          <w:tcPr>
            <w:tcW w:type="dxa" w:w="4896"/>
            <w:vAlign w:val="center"/>
          </w:tcPr>
          <w:p>
            <w:pPr>
              <w:spacing w:after="0" w:before="0" w:line="240" w:lineRule="auto"/>
            </w:pPr>
            <w:r>
              <w:rPr>
                <w:sz w:val="18"/>
              </w:rPr>
              <w:t>Meaning</w:t>
            </w:r>
          </w:p>
        </w:tc>
      </w:tr>
      <w:tr>
        <w:tc>
          <w:tcPr>
            <w:tcW w:type="dxa" w:w="4896"/>
            <w:vAlign w:val="center"/>
          </w:tcPr>
          <w:p>
            <w:pPr>
              <w:spacing w:after="0" w:before="0" w:line="240" w:lineRule="auto"/>
            </w:pPr>
            <w:r>
              <w:rPr>
                <w:sz w:val="18"/>
              </w:rPr>
              <w:t>ℓ_P</w:t>
            </w:r>
          </w:p>
        </w:tc>
        <w:tc>
          <w:tcPr>
            <w:tcW w:type="dxa" w:w="4896"/>
            <w:vAlign w:val="center"/>
          </w:tcPr>
          <w:p>
            <w:pPr>
              <w:spacing w:after="0" w:before="0" w:line="240" w:lineRule="auto"/>
            </w:pPr>
            <w:r>
              <w:rPr>
                <w:sz w:val="18"/>
              </w:rPr>
              <w:t>Spation-scale relay spacing (substrate grain / floor unit in current formulation)</w:t>
            </w:r>
          </w:p>
        </w:tc>
      </w:tr>
      <w:tr>
        <w:tc>
          <w:tcPr>
            <w:tcW w:type="dxa" w:w="4896"/>
            <w:vAlign w:val="center"/>
          </w:tcPr>
          <w:p>
            <w:pPr>
              <w:spacing w:after="0" w:before="0" w:line="240" w:lineRule="auto"/>
            </w:pPr>
            <w:r>
              <w:rPr>
                <w:sz w:val="18"/>
              </w:rPr>
              <w:t>t_P</w:t>
            </w:r>
          </w:p>
        </w:tc>
        <w:tc>
          <w:tcPr>
            <w:tcW w:type="dxa" w:w="4896"/>
            <w:vAlign w:val="center"/>
          </w:tcPr>
          <w:p>
            <w:pPr>
              <w:spacing w:after="0" w:before="0" w:line="240" w:lineRule="auto"/>
            </w:pPr>
            <w:r>
              <w:rPr>
                <w:sz w:val="18"/>
              </w:rPr>
              <w:t>One relay tick</w:t>
            </w:r>
          </w:p>
        </w:tc>
      </w:tr>
      <w:tr>
        <w:tc>
          <w:tcPr>
            <w:tcW w:type="dxa" w:w="4896"/>
            <w:vAlign w:val="center"/>
          </w:tcPr>
          <w:p>
            <w:pPr>
              <w:spacing w:after="0" w:before="0" w:line="240" w:lineRule="auto"/>
            </w:pPr>
            <w:r>
              <w:rPr>
                <w:sz w:val="18"/>
              </w:rPr>
              <w:t>c = ℓ_P / t_P</w:t>
            </w:r>
          </w:p>
        </w:tc>
        <w:tc>
          <w:tcPr>
            <w:tcW w:type="dxa" w:w="4896"/>
            <w:vAlign w:val="center"/>
          </w:tcPr>
          <w:p>
            <w:pPr>
              <w:spacing w:after="0" w:before="0" w:line="240" w:lineRule="auto"/>
            </w:pPr>
            <w:r>
              <w:rPr>
                <w:sz w:val="18"/>
              </w:rPr>
              <w:t>Native neighbour-to-neighbour relay rate</w:t>
            </w:r>
          </w:p>
        </w:tc>
      </w:tr>
      <w:tr>
        <w:tc>
          <w:tcPr>
            <w:tcW w:type="dxa" w:w="4896"/>
            <w:vAlign w:val="center"/>
          </w:tcPr>
          <w:p>
            <w:pPr>
              <w:spacing w:after="0" w:before="0" w:line="240" w:lineRule="auto"/>
            </w:pPr>
            <w:r>
              <w:rPr>
                <w:sz w:val="18"/>
              </w:rPr>
              <w:t>Φ = Nε</w:t>
            </w:r>
          </w:p>
        </w:tc>
        <w:tc>
          <w:tcPr>
            <w:tcW w:type="dxa" w:w="4896"/>
            <w:vAlign w:val="center"/>
          </w:tcPr>
          <w:p>
            <w:pPr>
              <w:spacing w:after="0" w:before="0" w:line="240" w:lineRule="auto"/>
            </w:pPr>
            <w:r>
              <w:rPr>
                <w:sz w:val="18"/>
              </w:rPr>
              <w:t>Convergent throughput burden at a point</w:t>
            </w:r>
          </w:p>
        </w:tc>
      </w:tr>
      <w:tr>
        <w:tc>
          <w:tcPr>
            <w:tcW w:type="dxa" w:w="4896"/>
            <w:vAlign w:val="center"/>
          </w:tcPr>
          <w:p>
            <w:pPr>
              <w:spacing w:after="0" w:before="0" w:line="240" w:lineRule="auto"/>
            </w:pPr>
            <w:r>
              <w:rPr>
                <w:sz w:val="18"/>
              </w:rPr>
              <w:t>P_conv</w:t>
            </w:r>
          </w:p>
        </w:tc>
        <w:tc>
          <w:tcPr>
            <w:tcW w:type="dxa" w:w="4896"/>
            <w:vAlign w:val="center"/>
          </w:tcPr>
          <w:p>
            <w:pPr>
              <w:spacing w:after="0" w:before="0" w:line="240" w:lineRule="auto"/>
            </w:pPr>
            <w:r>
              <w:rPr>
                <w:sz w:val="18"/>
              </w:rPr>
              <w:t>Local convergent pressure associated with Φ</w:t>
            </w:r>
          </w:p>
        </w:tc>
      </w:tr>
      <w:tr>
        <w:tc>
          <w:tcPr>
            <w:tcW w:type="dxa" w:w="4896"/>
            <w:vAlign w:val="center"/>
          </w:tcPr>
          <w:p>
            <w:pPr>
              <w:spacing w:after="0" w:before="0" w:line="240" w:lineRule="auto"/>
            </w:pPr>
            <w:r>
              <w:rPr>
                <w:sz w:val="18"/>
              </w:rPr>
              <w:t>σ_occ</w:t>
            </w:r>
          </w:p>
        </w:tc>
        <w:tc>
          <w:tcPr>
            <w:tcW w:type="dxa" w:w="4896"/>
            <w:vAlign w:val="center"/>
          </w:tcPr>
          <w:p>
            <w:pPr>
              <w:spacing w:after="0" w:before="0" w:line="240" w:lineRule="auto"/>
            </w:pPr>
            <w:r>
              <w:rPr>
                <w:sz w:val="18"/>
              </w:rPr>
              <w:t>Effective occlusion cross-section of a structure</w:t>
            </w:r>
          </w:p>
        </w:tc>
      </w:tr>
      <w:tr>
        <w:tc>
          <w:tcPr>
            <w:tcW w:type="dxa" w:w="4896"/>
            <w:vAlign w:val="center"/>
          </w:tcPr>
          <w:p>
            <w:pPr>
              <w:spacing w:after="0" w:before="0" w:line="240" w:lineRule="auto"/>
            </w:pPr>
            <w:r>
              <w:rPr>
                <w:sz w:val="18"/>
              </w:rPr>
              <w:t>V_disp</w:t>
            </w:r>
          </w:p>
        </w:tc>
        <w:tc>
          <w:tcPr>
            <w:tcW w:type="dxa" w:w="4896"/>
            <w:vAlign w:val="center"/>
          </w:tcPr>
          <w:p>
            <w:pPr>
              <w:spacing w:after="0" w:before="0" w:line="240" w:lineRule="auto"/>
            </w:pPr>
            <w:r>
              <w:rPr>
                <w:sz w:val="18"/>
              </w:rPr>
              <w:t>Excluded / displaced spation volume associated with a structure</w:t>
            </w:r>
          </w:p>
        </w:tc>
      </w:tr>
      <w:tr>
        <w:tc>
          <w:tcPr>
            <w:tcW w:type="dxa" w:w="4896"/>
            <w:vAlign w:val="center"/>
          </w:tcPr>
          <w:p>
            <w:pPr>
              <w:spacing w:after="0" w:before="0" w:line="240" w:lineRule="auto"/>
            </w:pPr>
            <w:r>
              <w:rPr>
                <w:sz w:val="18"/>
              </w:rPr>
              <w:t>v_t</w:t>
            </w:r>
          </w:p>
        </w:tc>
        <w:tc>
          <w:tcPr>
            <w:tcW w:type="dxa" w:w="4896"/>
            <w:vAlign w:val="center"/>
          </w:tcPr>
          <w:p>
            <w:pPr>
              <w:spacing w:after="0" w:before="0" w:line="240" w:lineRule="auto"/>
            </w:pPr>
            <w:r>
              <w:rPr>
                <w:sz w:val="18"/>
              </w:rPr>
              <w:t>Translational component of a structure or boundary</w:t>
            </w:r>
          </w:p>
        </w:tc>
      </w:tr>
      <w:tr>
        <w:tc>
          <w:tcPr>
            <w:tcW w:type="dxa" w:w="4896"/>
            <w:vAlign w:val="center"/>
          </w:tcPr>
          <w:p>
            <w:pPr>
              <w:spacing w:after="0" w:before="0" w:line="240" w:lineRule="auto"/>
            </w:pPr>
            <w:r>
              <w:rPr>
                <w:sz w:val="18"/>
              </w:rPr>
              <w:t>v_T</w:t>
            </w:r>
          </w:p>
        </w:tc>
        <w:tc>
          <w:tcPr>
            <w:tcW w:type="dxa" w:w="4896"/>
            <w:vAlign w:val="center"/>
          </w:tcPr>
          <w:p>
            <w:pPr>
              <w:spacing w:after="0" w:before="0" w:line="240" w:lineRule="auto"/>
            </w:pPr>
            <w:r>
              <w:rPr>
                <w:sz w:val="18"/>
              </w:rPr>
              <w:t>Toroidal circulation mode</w:t>
            </w:r>
          </w:p>
        </w:tc>
      </w:tr>
      <w:tr>
        <w:tc>
          <w:tcPr>
            <w:tcW w:type="dxa" w:w="4896"/>
            <w:vAlign w:val="center"/>
          </w:tcPr>
          <w:p>
            <w:pPr>
              <w:spacing w:after="0" w:before="0" w:line="240" w:lineRule="auto"/>
            </w:pPr>
            <w:r>
              <w:rPr>
                <w:sz w:val="18"/>
              </w:rPr>
              <w:t>v_P</w:t>
            </w:r>
          </w:p>
        </w:tc>
        <w:tc>
          <w:tcPr>
            <w:tcW w:type="dxa" w:w="4896"/>
            <w:vAlign w:val="center"/>
          </w:tcPr>
          <w:p>
            <w:pPr>
              <w:spacing w:after="0" w:before="0" w:line="240" w:lineRule="auto"/>
            </w:pPr>
            <w:r>
              <w:rPr>
                <w:sz w:val="18"/>
              </w:rPr>
              <w:t>Poloidal cross-coupling mode</w:t>
            </w:r>
          </w:p>
        </w:tc>
      </w:tr>
      <w:tr>
        <w:tc>
          <w:tcPr>
            <w:tcW w:type="dxa" w:w="4896"/>
            <w:vAlign w:val="center"/>
          </w:tcPr>
          <w:p>
            <w:pPr>
              <w:spacing w:after="0" w:before="0" w:line="240" w:lineRule="auto"/>
            </w:pPr>
            <w:r>
              <w:rPr>
                <w:sz w:val="18"/>
              </w:rPr>
              <w:t>v_C</w:t>
            </w:r>
          </w:p>
        </w:tc>
        <w:tc>
          <w:tcPr>
            <w:tcW w:type="dxa" w:w="4896"/>
            <w:vAlign w:val="center"/>
          </w:tcPr>
          <w:p>
            <w:pPr>
              <w:spacing w:after="0" w:before="0" w:line="240" w:lineRule="auto"/>
            </w:pPr>
            <w:r>
              <w:rPr>
                <w:sz w:val="18"/>
              </w:rPr>
              <w:t>Contrarotational stabilizing mode</w:t>
            </w:r>
          </w:p>
        </w:tc>
      </w:tr>
      <w:tr>
        <w:tc>
          <w:tcPr>
            <w:tcW w:type="dxa" w:w="4896"/>
            <w:vAlign w:val="center"/>
          </w:tcPr>
          <w:p>
            <w:pPr>
              <w:spacing w:after="0" w:before="0" w:line="240" w:lineRule="auto"/>
            </w:pPr>
            <w:r>
              <w:rPr>
                <w:sz w:val="18"/>
              </w:rPr>
              <w:t>𝒲</w:t>
            </w:r>
          </w:p>
        </w:tc>
        <w:tc>
          <w:tcPr>
            <w:tcW w:type="dxa" w:w="4896"/>
            <w:vAlign w:val="center"/>
          </w:tcPr>
          <w:p>
            <w:pPr>
              <w:spacing w:after="0" w:before="0" w:line="240" w:lineRule="auto"/>
            </w:pPr>
            <w:r>
              <w:rPr>
                <w:sz w:val="18"/>
              </w:rPr>
              <w:t>Wake state written into the surrounding spation medium</w:t>
            </w:r>
          </w:p>
        </w:tc>
      </w:tr>
      <w:tr>
        <w:tc>
          <w:tcPr>
            <w:tcW w:type="dxa" w:w="4896"/>
            <w:vAlign w:val="center"/>
          </w:tcPr>
          <w:p>
            <w:pPr>
              <w:spacing w:after="0" w:before="0" w:line="240" w:lineRule="auto"/>
            </w:pPr>
            <w:r>
              <w:rPr>
                <w:sz w:val="18"/>
              </w:rPr>
              <w:t>𝒜</w:t>
            </w:r>
          </w:p>
        </w:tc>
        <w:tc>
          <w:tcPr>
            <w:tcW w:type="dxa" w:w="4896"/>
            <w:vAlign w:val="center"/>
          </w:tcPr>
          <w:p>
            <w:pPr>
              <w:spacing w:after="0" w:before="0" w:line="240" w:lineRule="auto"/>
            </w:pPr>
            <w:r>
              <w:rPr>
                <w:sz w:val="18"/>
              </w:rPr>
              <w:t>Axial influence field</w:t>
            </w:r>
          </w:p>
        </w:tc>
      </w:tr>
    </w:tbl>
    <w:p>
      <w:pPr>
        <w:pStyle w:val="Heading1Custom"/>
      </w:pPr>
      <w:r>
        <w:t>2. Boundary Contact as the Primitive Event</w:t>
      </w:r>
    </w:p>
    <w:p>
      <w:pPr/>
      <w:r>
        <w:t>The primitive operation is not force between separated bodies but contact-level redirection at the exclusion boundary. At every boundary event, convergent influx reaches matter, cannot co-occupy the excluded region, and must therefore be deflected, redistributed, or translated into another mode.</w:t>
      </w:r>
    </w:p>
    <w:p>
      <w:pPr>
        <w:pStyle w:val="EqCustom"/>
        <w:ind w:left="288" w:right="288"/>
        <w:jc w:val="center"/>
      </w:pPr>
      <w:r>
        <w:t>incoming convergent contact  →  boundary deflection  →  redirected motion  →  renewed exclusion</w:t>
      </w:r>
    </w:p>
    <w:p>
      <w:pPr/>
      <w:r>
        <w:t>In this language, persistence requires a local recurrence rule. A viable matter topology must transform each new boundary contact into a new cycle of self-maintenance rather than a one-off expenditure.</w:t>
      </w:r>
    </w:p>
    <w:p>
      <w:pPr>
        <w:pStyle w:val="Heading1Custom"/>
      </w:pPr>
      <w:r>
        <w:t>3. Traction Law</w:t>
      </w:r>
    </w:p>
    <w:p>
      <w:pPr/>
      <w:r>
        <w:t>For a perfectly tractional and perfectly faithful medium, the contact event cannot simply vanish. The medium must either reclose, transmit, or be routed into another degree of freedom. The minimal traction statement is:</w:t>
      </w:r>
    </w:p>
    <w:p>
      <w:pPr>
        <w:pStyle w:val="EqCustom"/>
        <w:ind w:left="288" w:right="288"/>
        <w:jc w:val="center"/>
      </w:pPr>
      <w:r>
        <w:t>boundary work = exclusion maintenance + modal redistribution + residual transmission</w:t>
      </w:r>
    </w:p>
    <w:p>
      <w:pPr/>
      <w:r>
        <w:t>A stable structure therefore requires not merely pressure balance but a mechanism that reuses contact work. This is the operative meaning of traction in SDT.</w:t>
      </w:r>
    </w:p>
    <w:p>
      <w:pPr>
        <w:pStyle w:val="Heading1Custom"/>
      </w:pPr>
      <w:r>
        <w:t>4. Wake-Conditioned Medium</w:t>
      </w:r>
    </w:p>
    <w:p>
      <w:pPr/>
      <w:r>
        <w:t>The wake is not decorative residue but a resolvable engine. Persistent exclusion writes an influence field into the surrounding spation medium. At lowest order this field is axial; under sustained operation it becomes helical or otherwise structured.</w:t>
      </w:r>
    </w:p>
    <w:p>
      <w:pPr>
        <w:pStyle w:val="EqCustom"/>
        <w:ind w:left="288" w:right="288"/>
        <w:jc w:val="center"/>
      </w:pPr>
      <w:r>
        <w:t>event  →  axial influence field 𝒜  →  structured wake 𝒲</w:t>
      </w:r>
    </w:p>
    <w:p>
      <w:pPr/>
      <w:r>
        <w:t>The wake has two jobs: it preconditions the next boundary event and it creates a local anisotropic pressure gradient. This makes future motion easier along some routes than others, providing continuity, inertia, and directional memory.</w:t>
      </w:r>
    </w:p>
    <w:p>
      <w:pPr>
        <w:pStyle w:val="Heading1Custom"/>
      </w:pPr>
      <w:r>
        <w:t>5. Light Through a Wake-Conditioned Medium</w:t>
      </w:r>
    </w:p>
    <w:p>
      <w:pPr/>
      <w:r>
        <w:t>Light remains neighbour-to-neighbour energetic transmission. It does not need to drag the wake. It traverses a medium whose local handoff geometry has already been conditioned by the wake.</w:t>
      </w:r>
    </w:p>
    <w:p>
      <w:pPr>
        <w:pStyle w:val="EqCustom"/>
        <w:ind w:left="288" w:right="288"/>
        <w:jc w:val="center"/>
      </w:pPr>
      <w:r>
        <w:t>straight relay:     𝒲 = 0   ⇒   Δθ = 0</w:t>
      </w:r>
    </w:p>
    <w:p>
      <w:pPr>
        <w:pStyle w:val="EqCustom"/>
        <w:ind w:left="288" w:right="288"/>
        <w:jc w:val="center"/>
      </w:pPr>
      <w:r>
        <w:t>smooth wake field:  ∇𝒲 ≠ 0  ⇒   refraction-like angular bias</w:t>
      </w:r>
    </w:p>
    <w:p>
      <w:pPr>
        <w:pStyle w:val="EqCustom"/>
        <w:ind w:left="288" w:right="288"/>
        <w:jc w:val="center"/>
      </w:pPr>
      <w:r>
        <w:t>rough wake field:   δ𝒲 large ⇒   scattering / diffusion</w:t>
      </w:r>
    </w:p>
    <w:p>
      <w:pPr/>
      <w:r>
        <w:t>A clean mathematical target is therefore a local angular deflection law</w:t>
      </w:r>
    </w:p>
    <w:p>
      <w:pPr>
        <w:pStyle w:val="EqCustom"/>
        <w:ind w:left="288" w:right="288"/>
        <w:jc w:val="center"/>
      </w:pPr>
      <w:r>
        <w:t>Δθ = F(λ, 𝒲, ∇P, n̂)</w:t>
      </w:r>
    </w:p>
    <w:p>
      <w:pPr/>
      <w:r>
        <w:t>where λ is wavelength, 𝒲 the local wake state, ∇P the local pressure gradient, and n̂ the propagation direction. This reframes refraction and scattering as geometry problems on a preconditioned medium, in principle solvable before experiment.</w:t>
      </w:r>
    </w:p>
    <w:p>
      <w:pPr>
        <w:pStyle w:val="Heading1Custom"/>
      </w:pPr>
      <w:r>
        <w:t>6. Magnetic Flux as Organized Spation Flow</w:t>
      </w:r>
    </w:p>
    <w:p>
      <w:pPr/>
      <w:r>
        <w:t>Within this picture, magnetic flux is not an abstract field but an organized flow-state of the spation matrix. Magnetic-family objects couple strongly to such organized flow; non-magnetic-family objects do not.</w:t>
      </w:r>
    </w:p>
    <w:p>
      <w:pPr>
        <w:pStyle w:val="EqCustom"/>
        <w:ind w:left="288" w:right="288"/>
        <w:jc w:val="center"/>
      </w:pPr>
      <w:r>
        <w:t>magnetic behaviour = topology-dependent coupling to organized spation flow</w:t>
      </w:r>
    </w:p>
    <w:p>
      <w:pPr/>
      <w:r>
        <w:t>This gives a cleaner interpretation of accelerator magnets, magnetospheres, induction, and alignment phenomena: the apparatus sculpts rivers of space, and only compatible topologies entrain cleanly.</w:t>
      </w:r>
    </w:p>
    <w:p>
      <w:pPr>
        <w:pStyle w:val="Heading1Custom"/>
      </w:pPr>
      <w:r>
        <w:t>7. Why the Toroidal Architecture Reappears</w:t>
      </w:r>
    </w:p>
    <w:p>
      <w:pPr/>
      <w:r>
        <w:t>The torus is not introduced as a decorative shape but as a candidate error-correcting exploit. It can convert blocked radial influx into circumferential spin while leaving a comparatively clean central axial corridor.</w:t>
      </w:r>
    </w:p>
    <w:p>
      <w:pPr>
        <w:pStyle w:val="EqCustom"/>
        <w:ind w:left="288" w:right="288"/>
        <w:jc w:val="center"/>
      </w:pPr>
      <w:r>
        <w:t>deflected outer throughput  →  circumferential spin</w:t>
      </w:r>
    </w:p>
    <w:p>
      <w:pPr>
        <w:pStyle w:val="EqCustom"/>
        <w:ind w:left="288" w:right="288"/>
        <w:jc w:val="center"/>
      </w:pPr>
      <w:r>
        <w:t>central low-resistance channel  →  axial bias / directionality</w:t>
      </w:r>
    </w:p>
    <w:p>
      <w:pPr/>
      <w:r>
        <w:t>This directly supports the deflection=spin argument: spin is generated from redirected contact work, while directionality is carried by the comparatively unopposed axial pass-through.</w:t>
      </w:r>
    </w:p>
    <w:p>
      <w:pPr>
        <w:pStyle w:val="Heading1Custom"/>
      </w:pPr>
      <w:r>
        <w:t>8. The Three Mechanical Modes</w:t>
      </w:r>
    </w:p>
    <w:p>
      <w:pPr/>
      <w:r>
        <w:t>The relevant modes are not generic 'three velocities' but three real mechanical flow modes operating relative to one another:</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pPr>
              <w:spacing w:before="0" w:after="0" w:line="240" w:lineRule="auto"/>
            </w:pPr>
            <w:r>
              <w:rPr>
                <w:sz w:val="18"/>
              </w:rPr>
              <w:t>Mode</w:t>
            </w:r>
          </w:p>
        </w:tc>
        <w:tc>
          <w:tcPr>
            <w:tcW w:type="dxa" w:w="3264"/>
            <w:vAlign w:val="center"/>
          </w:tcPr>
          <w:p>
            <w:pPr>
              <w:spacing w:before="0" w:after="0" w:line="240" w:lineRule="auto"/>
            </w:pPr>
            <w:r>
              <w:rPr>
                <w:sz w:val="18"/>
              </w:rPr>
              <w:t>Role</w:t>
            </w:r>
          </w:p>
        </w:tc>
        <w:tc>
          <w:tcPr>
            <w:tcW w:type="dxa" w:w="3264"/>
            <w:vAlign w:val="center"/>
          </w:tcPr>
          <w:p>
            <w:pPr>
              <w:spacing w:before="0" w:after="0" w:line="240" w:lineRule="auto"/>
            </w:pPr>
            <w:r>
              <w:rPr>
                <w:sz w:val="18"/>
              </w:rPr>
              <w:t>Failure if Missing</w:t>
            </w:r>
          </w:p>
        </w:tc>
      </w:tr>
      <w:tr>
        <w:tc>
          <w:tcPr>
            <w:tcW w:type="dxa" w:w="3264"/>
            <w:vAlign w:val="center"/>
          </w:tcPr>
          <w:p>
            <w:pPr>
              <w:spacing w:before="0" w:after="0" w:line="240" w:lineRule="auto"/>
            </w:pPr>
            <w:r>
              <w:rPr>
                <w:sz w:val="18"/>
              </w:rPr>
              <w:t>Toroidal</w:t>
            </w:r>
          </w:p>
        </w:tc>
        <w:tc>
          <w:tcPr>
            <w:tcW w:type="dxa" w:w="3264"/>
            <w:vAlign w:val="center"/>
          </w:tcPr>
          <w:p>
            <w:pPr>
              <w:spacing w:before="0" w:after="0" w:line="240" w:lineRule="auto"/>
            </w:pPr>
            <w:r>
              <w:rPr>
                <w:sz w:val="18"/>
              </w:rPr>
              <w:t>Closure, recirculation, persistence of exclusion</w:t>
            </w:r>
          </w:p>
        </w:tc>
        <w:tc>
          <w:tcPr>
            <w:tcW w:type="dxa" w:w="3264"/>
            <w:vAlign w:val="center"/>
          </w:tcPr>
          <w:p>
            <w:pPr>
              <w:spacing w:before="0" w:after="0" w:line="240" w:lineRule="auto"/>
            </w:pPr>
            <w:r>
              <w:rPr>
                <w:sz w:val="18"/>
              </w:rPr>
              <w:t>One-pass expenditure; no identity storage</w:t>
            </w:r>
          </w:p>
        </w:tc>
      </w:tr>
      <w:tr>
        <w:tc>
          <w:tcPr>
            <w:tcW w:type="dxa" w:w="3264"/>
            <w:vAlign w:val="center"/>
          </w:tcPr>
          <w:p>
            <w:pPr>
              <w:spacing w:before="0" w:after="0" w:line="240" w:lineRule="auto"/>
            </w:pPr>
            <w:r>
              <w:rPr>
                <w:sz w:val="18"/>
              </w:rPr>
              <w:t>Poloidal</w:t>
            </w:r>
          </w:p>
        </w:tc>
        <w:tc>
          <w:tcPr>
            <w:tcW w:type="dxa" w:w="3264"/>
            <w:vAlign w:val="center"/>
          </w:tcPr>
          <w:p>
            <w:pPr>
              <w:spacing w:before="0" w:after="0" w:line="240" w:lineRule="auto"/>
            </w:pPr>
            <w:r>
              <w:rPr>
                <w:sz w:val="18"/>
              </w:rPr>
              <w:t>Cross-coupling between inner and outer layers</w:t>
            </w:r>
          </w:p>
        </w:tc>
        <w:tc>
          <w:tcPr>
            <w:tcW w:type="dxa" w:w="3264"/>
            <w:vAlign w:val="center"/>
          </w:tcPr>
          <w:p>
            <w:pPr>
              <w:spacing w:before="0" w:after="0" w:line="240" w:lineRule="auto"/>
            </w:pPr>
            <w:r>
              <w:rPr>
                <w:sz w:val="18"/>
              </w:rPr>
              <w:t>Dead ring; no depth exchange</w:t>
            </w:r>
          </w:p>
        </w:tc>
      </w:tr>
      <w:tr>
        <w:tc>
          <w:tcPr>
            <w:tcW w:type="dxa" w:w="3264"/>
            <w:vAlign w:val="center"/>
          </w:tcPr>
          <w:p>
            <w:pPr>
              <w:spacing w:before="0" w:after="0" w:line="240" w:lineRule="auto"/>
            </w:pPr>
            <w:r>
              <w:rPr>
                <w:sz w:val="18"/>
              </w:rPr>
              <w:t>Contrarotational</w:t>
            </w:r>
          </w:p>
        </w:tc>
        <w:tc>
          <w:tcPr>
            <w:tcW w:type="dxa" w:w="3264"/>
            <w:vAlign w:val="center"/>
          </w:tcPr>
          <w:p>
            <w:pPr>
              <w:spacing w:before="0" w:after="0" w:line="240" w:lineRule="auto"/>
            </w:pPr>
            <w:r>
              <w:rPr>
                <w:sz w:val="18"/>
              </w:rPr>
              <w:t>Balance, anti-twist stabilization, error absorption</w:t>
            </w:r>
          </w:p>
        </w:tc>
        <w:tc>
          <w:tcPr>
            <w:tcW w:type="dxa" w:w="3264"/>
            <w:vAlign w:val="center"/>
          </w:tcPr>
          <w:p>
            <w:pPr>
              <w:spacing w:before="0" w:after="0" w:line="240" w:lineRule="auto"/>
            </w:pPr>
            <w:r>
              <w:rPr>
                <w:sz w:val="18"/>
              </w:rPr>
              <w:t>Twist accumulation, seam stress, collapse</w:t>
            </w:r>
          </w:p>
        </w:tc>
      </w:tr>
    </w:tbl>
    <w:p>
      <w:pPr/>
      <w:r>
        <w:t>The load-bearing claim is that turbulence or defective deflection in any one mode can be translated through the other two. This is an error-correction statement, not a geometric ornament.</w:t>
      </w:r>
    </w:p>
    <w:p>
      <w:pPr>
        <w:pStyle w:val="Heading1Custom"/>
      </w:pPr>
      <w:r>
        <w:t>9. Minimal Modal Budget</w:t>
      </w:r>
    </w:p>
    <w:p>
      <w:pPr/>
      <w:r>
        <w:t>The previously developed movement budget can be recast in modal form. A provisional expression is:</w:t>
      </w:r>
    </w:p>
    <w:p>
      <w:pPr>
        <w:pStyle w:val="EqCustom"/>
        <w:ind w:left="288" w:right="288"/>
        <w:jc w:val="center"/>
      </w:pPr>
      <w:r>
        <w:t>v_t² + v_T² + v_P² + v_C² ≤ c²</w:t>
      </w:r>
    </w:p>
    <w:p>
      <w:pPr/>
      <w:r>
        <w:t>This does not yet assert the exact composition law, but it does express the requirement that the boundary machine partition a finite relay/update ceiling across all active channels. The stable architecture is the one that uses this budget while maintaining exclusion under convergent load.</w:t>
      </w:r>
    </w:p>
    <w:p>
      <w:pPr>
        <w:pStyle w:val="Heading1Custom"/>
      </w:pPr>
      <w:r>
        <w:t>10. Nested Wakes: Stars, Planets, and Magnetospheres</w:t>
      </w:r>
    </w:p>
    <w:p>
      <w:pPr/>
      <w:r>
        <w:t>The wake is not merely particle-scale. A rotating star writes a system-scale axial and helical conditioning field into the medium. Planetary wakes are then nested perturbations inside the stellar wake, rather than independent competing universes.</w:t>
      </w:r>
    </w:p>
    <w:p>
      <w:pPr/>
      <w:r>
        <w:t>This reframes several observations:</w:t>
      </w:r>
    </w:p>
    <w:p>
      <w:pPr>
        <w:ind w:left="360" w:hanging="216"/>
      </w:pPr>
      <w:r>
        <w:rPr>
          <w:b/>
        </w:rPr>
        <w:t xml:space="preserve">• </w:t>
      </w:r>
      <w:r>
        <w:t>stellar rotation as persistent conversion of deformity into angular maintenance</w:t>
      </w:r>
    </w:p>
    <w:p>
      <w:pPr>
        <w:ind w:left="360" w:hanging="216"/>
      </w:pPr>
      <w:r>
        <w:rPr>
          <w:b/>
        </w:rPr>
        <w:t xml:space="preserve">• </w:t>
      </w:r>
      <w:r>
        <w:t>orbital coherence as motion inside a preconditioned wake rather than in neutral emptiness</w:t>
      </w:r>
    </w:p>
    <w:p>
      <w:pPr>
        <w:ind w:left="360" w:hanging="216"/>
      </w:pPr>
      <w:r>
        <w:rPr>
          <w:b/>
        </w:rPr>
        <w:t xml:space="preserve">• </w:t>
      </w:r>
      <w:r>
        <w:t>ring planarity as a traction-equilibrium sheet rather than mere debris geometry</w:t>
      </w:r>
    </w:p>
    <w:p>
      <w:pPr>
        <w:ind w:left="360" w:hanging="216"/>
      </w:pPr>
      <w:r>
        <w:rPr>
          <w:b/>
        </w:rPr>
        <w:t xml:space="preserve">• </w:t>
      </w:r>
      <w:r>
        <w:t>magnetospheres as visible toroidal stress-redirection structures with hard sunward contact and trailing bleed-off</w:t>
      </w:r>
    </w:p>
    <w:p>
      <w:pPr/>
      <w:r>
        <w:t>In this setting, the solar/CMB equalisation radius and the planarity of ring systems become not curiosities but tests of a nested wake framework.</w:t>
      </w:r>
    </w:p>
    <w:p>
      <w:pPr>
        <w:pStyle w:val="Heading1Custom"/>
      </w:pPr>
      <w:r>
        <w:t>11. Failure Modes that a Real SDT Matter Topology Must Survive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pPr>
              <w:spacing w:before="0" w:after="0" w:line="240" w:lineRule="auto"/>
            </w:pPr>
            <w:r>
              <w:rPr>
                <w:sz w:val="18"/>
              </w:rPr>
              <w:t>Failure surface</w:t>
            </w:r>
          </w:p>
        </w:tc>
        <w:tc>
          <w:tcPr>
            <w:tcW w:type="dxa" w:w="3264"/>
            <w:vAlign w:val="center"/>
          </w:tcPr>
          <w:p>
            <w:pPr>
              <w:spacing w:before="0" w:after="0" w:line="240" w:lineRule="auto"/>
            </w:pPr>
            <w:r>
              <w:rPr>
                <w:sz w:val="18"/>
              </w:rPr>
              <w:t>What must be shown</w:t>
            </w:r>
          </w:p>
        </w:tc>
        <w:tc>
          <w:tcPr>
            <w:tcW w:type="dxa" w:w="3264"/>
            <w:vAlign w:val="center"/>
          </w:tcPr>
          <w:p>
            <w:pPr>
              <w:spacing w:before="0" w:after="0" w:line="240" w:lineRule="auto"/>
            </w:pPr>
            <w:r>
              <w:rPr>
                <w:sz w:val="18"/>
              </w:rPr>
              <w:t>Why it matters</w:t>
            </w:r>
          </w:p>
        </w:tc>
      </w:tr>
      <w:tr>
        <w:tc>
          <w:tcPr>
            <w:tcW w:type="dxa" w:w="3264"/>
            <w:vAlign w:val="center"/>
          </w:tcPr>
          <w:p>
            <w:pPr>
              <w:spacing w:before="0" w:after="0" w:line="240" w:lineRule="auto"/>
            </w:pPr>
            <w:r>
              <w:rPr>
                <w:sz w:val="18"/>
              </w:rPr>
              <w:t>Modal decoupling</w:t>
            </w:r>
          </w:p>
        </w:tc>
        <w:tc>
          <w:tcPr>
            <w:tcW w:type="dxa" w:w="3264"/>
            <w:vAlign w:val="center"/>
          </w:tcPr>
          <w:p>
            <w:pPr>
              <w:spacing w:line="240" w:lineRule="auto" w:before="0" w:after="0"/>
            </w:pPr>
            <w:r>
              <w:rPr>
                <w:sz w:val="18"/>
              </w:rPr>
              <w:t>Modes remain phase-locked or strongly coupled</w:t>
            </w:r>
          </w:p>
        </w:tc>
        <w:tc>
          <w:tcPr>
            <w:tcW w:type="dxa" w:w="3264"/>
            <w:vAlign w:val="center"/>
          </w:tcPr>
          <w:p>
            <w:pPr>
              <w:spacing w:before="0" w:after="0" w:line="240" w:lineRule="auto"/>
            </w:pPr>
            <w:r>
              <w:rPr>
                <w:sz w:val="18"/>
              </w:rPr>
              <w:t>Otherwise redundancy is fake and error correction fails</w:t>
            </w:r>
          </w:p>
        </w:tc>
      </w:tr>
      <w:tr>
        <w:tc>
          <w:tcPr>
            <w:tcW w:type="dxa" w:w="3264"/>
            <w:vAlign w:val="center"/>
          </w:tcPr>
          <w:p>
            <w:pPr>
              <w:spacing w:before="0" w:after="0" w:line="240" w:lineRule="auto"/>
            </w:pPr>
            <w:r>
              <w:rPr>
                <w:sz w:val="18"/>
              </w:rPr>
              <w:t>Energy leakage</w:t>
            </w:r>
          </w:p>
        </w:tc>
        <w:tc>
          <w:tcPr>
            <w:tcW w:type="dxa" w:w="3264"/>
            <w:vAlign w:val="center"/>
          </w:tcPr>
          <w:p>
            <w:pPr>
              <w:spacing w:line="240" w:lineRule="auto" w:before="0" w:after="0"/>
            </w:pPr>
            <w:r>
              <w:rPr>
                <w:sz w:val="18"/>
              </w:rPr>
              <w:t>Translated disturbance is reintegrated, not merely delayed</w:t>
            </w:r>
          </w:p>
        </w:tc>
        <w:tc>
          <w:tcPr>
            <w:tcW w:type="dxa" w:w="3264"/>
            <w:vAlign w:val="center"/>
          </w:tcPr>
          <w:p>
            <w:pPr>
              <w:spacing w:before="0" w:after="0" w:line="240" w:lineRule="auto"/>
            </w:pPr>
            <w:r>
              <w:rPr>
                <w:sz w:val="18"/>
              </w:rPr>
              <w:t>Otherwise the structure only postpones collapse</w:t>
            </w:r>
          </w:p>
        </w:tc>
      </w:tr>
      <w:tr>
        <w:tc>
          <w:tcPr>
            <w:tcW w:type="dxa" w:w="3264"/>
            <w:vAlign w:val="center"/>
          </w:tcPr>
          <w:p>
            <w:pPr>
              <w:spacing w:before="0" w:after="0" w:line="240" w:lineRule="auto"/>
            </w:pPr>
            <w:r>
              <w:rPr>
                <w:sz w:val="18"/>
              </w:rPr>
              <w:t>Axial channel instability</w:t>
            </w:r>
          </w:p>
        </w:tc>
        <w:tc>
          <w:tcPr>
            <w:tcW w:type="dxa" w:w="3264"/>
            <w:vAlign w:val="center"/>
          </w:tcPr>
          <w:p>
            <w:pPr>
              <w:spacing w:line="240" w:lineRule="auto" w:before="0" w:after="0"/>
            </w:pPr>
            <w:r>
              <w:rPr>
                <w:sz w:val="18"/>
              </w:rPr>
              <w:t>Stable aperture window: enough axial throughput for directionality, enough obstruction for spin</w:t>
            </w:r>
          </w:p>
        </w:tc>
        <w:tc>
          <w:tcPr>
            <w:tcW w:type="dxa" w:w="3264"/>
            <w:vAlign w:val="center"/>
          </w:tcPr>
          <w:p>
            <w:pPr>
              <w:spacing w:before="0" w:after="0" w:line="240" w:lineRule="auto"/>
            </w:pPr>
            <w:r>
              <w:rPr>
                <w:sz w:val="18"/>
              </w:rPr>
              <w:t>Otherwise the machine collapses into pure spin or pure throughflow</w:t>
            </w:r>
          </w:p>
        </w:tc>
      </w:tr>
      <w:tr>
        <w:tc>
          <w:tcPr>
            <w:tcW w:type="dxa" w:w="3264"/>
            <w:vAlign w:val="center"/>
          </w:tcPr>
          <w:p>
            <w:pPr>
              <w:spacing w:before="0" w:after="0" w:line="240" w:lineRule="auto"/>
            </w:pPr>
            <w:r>
              <w:rPr>
                <w:sz w:val="18"/>
              </w:rPr>
              <w:t>Contrarotational seam stress</w:t>
            </w:r>
          </w:p>
        </w:tc>
        <w:tc>
          <w:tcPr>
            <w:tcW w:type="dxa" w:w="3264"/>
            <w:vAlign w:val="center"/>
          </w:tcPr>
          <w:p>
            <w:pPr>
              <w:spacing w:before="0" w:after="0" w:line="240" w:lineRule="auto"/>
            </w:pPr>
            <w:r>
              <w:rPr>
                <w:sz w:val="18"/>
              </w:rPr>
              <w:t>Opposed modes stabilize rather than grind destructively</w:t>
            </w:r>
          </w:p>
        </w:tc>
        <w:tc>
          <w:tcPr>
            <w:tcW w:type="dxa" w:w="3264"/>
            <w:vAlign w:val="center"/>
          </w:tcPr>
          <w:p>
            <w:pPr>
              <w:spacing w:before="0" w:after="0" w:line="240" w:lineRule="auto"/>
            </w:pPr>
            <w:r>
              <w:rPr>
                <w:sz w:val="18"/>
              </w:rPr>
              <w:t>Otherwise the cure becomes the failure</w:t>
            </w:r>
          </w:p>
        </w:tc>
      </w:tr>
      <w:tr>
        <w:tc>
          <w:tcPr>
            <w:tcW w:type="dxa" w:w="3264"/>
            <w:vAlign w:val="center"/>
          </w:tcPr>
          <w:p>
            <w:pPr>
              <w:spacing w:before="0" w:after="0" w:line="240" w:lineRule="auto"/>
            </w:pPr>
            <w:r>
              <w:rPr>
                <w:sz w:val="18"/>
              </w:rPr>
              <w:t>Single-point deflection stall</w:t>
            </w:r>
          </w:p>
        </w:tc>
        <w:tc>
          <w:tcPr>
            <w:tcW w:type="dxa" w:w="3264"/>
            <w:vAlign w:val="center"/>
          </w:tcPr>
          <w:p>
            <w:pPr>
              <w:spacing w:before="0" w:after="0" w:line="240" w:lineRule="auto"/>
            </w:pPr>
            <w:r>
              <w:rPr>
                <w:sz w:val="18"/>
              </w:rPr>
              <w:t>No one bad boundary event can stop the entire machine</w:t>
            </w:r>
          </w:p>
        </w:tc>
        <w:tc>
          <w:tcPr>
            <w:tcW w:type="dxa" w:w="3264"/>
            <w:vAlign w:val="center"/>
          </w:tcPr>
          <w:p>
            <w:pPr>
              <w:spacing w:before="0" w:after="0" w:line="240" w:lineRule="auto"/>
            </w:pPr>
            <w:r>
              <w:rPr>
                <w:sz w:val="18"/>
              </w:rPr>
              <w:t>Core requirement of robustness</w:t>
            </w:r>
          </w:p>
        </w:tc>
      </w:tr>
      <w:tr>
        <w:tc>
          <w:tcPr>
            <w:tcW w:type="dxa" w:w="3264"/>
            <w:vAlign w:val="center"/>
          </w:tcPr>
          <w:p>
            <w:pPr>
              <w:spacing w:before="0" w:after="0" w:line="240" w:lineRule="auto"/>
            </w:pPr>
            <w:r>
              <w:rPr>
                <w:sz w:val="18"/>
              </w:rPr>
              <w:t>Pressure mismatch</w:t>
            </w:r>
          </w:p>
        </w:tc>
        <w:tc>
          <w:tcPr>
            <w:tcW w:type="dxa" w:w="3264"/>
            <w:vAlign w:val="center"/>
          </w:tcPr>
          <w:p>
            <w:pPr>
              <w:spacing w:before="0" w:after="0" w:line="240" w:lineRule="auto"/>
            </w:pPr>
            <w:r>
              <w:rPr>
                <w:sz w:val="18"/>
              </w:rPr>
              <w:t>The candidate topology naturally satisfies convergent-pressure balance</w:t>
            </w:r>
          </w:p>
        </w:tc>
        <w:tc>
          <w:tcPr>
            <w:tcW w:type="dxa" w:w="3264"/>
            <w:vAlign w:val="center"/>
          </w:tcPr>
          <w:p>
            <w:pPr>
              <w:spacing w:before="0" w:after="0" w:line="240" w:lineRule="auto"/>
            </w:pPr>
            <w:r>
              <w:rPr>
                <w:sz w:val="18"/>
              </w:rPr>
              <w:t>Elegant geometry is useless if physically uninhabitable</w:t>
            </w:r>
          </w:p>
        </w:tc>
      </w:tr>
      <w:tr>
        <w:tc>
          <w:tcPr>
            <w:tcW w:type="dxa" w:w="3264"/>
            <w:vAlign w:val="center"/>
          </w:tcPr>
          <w:p>
            <w:pPr>
              <w:spacing w:before="0" w:after="0" w:line="240" w:lineRule="auto"/>
            </w:pPr>
            <w:r>
              <w:rPr>
                <w:sz w:val="18"/>
              </w:rPr>
              <w:t>Geometry transmission</w:t>
            </w:r>
          </w:p>
        </w:tc>
        <w:tc>
          <w:tcPr>
            <w:tcW w:type="dxa" w:w="3264"/>
            <w:vAlign w:val="center"/>
          </w:tcPr>
          <w:p>
            <w:pPr>
              <w:spacing w:line="240" w:lineRule="auto" w:before="0" w:after="0"/>
            </w:pPr>
            <w:r>
              <w:rPr>
                <w:sz w:val="18"/>
              </w:rPr>
              <w:t>Internal topology projects into wake/electronic landscape</w:t>
            </w:r>
          </w:p>
        </w:tc>
        <w:tc>
          <w:tcPr>
            <w:tcW w:type="dxa" w:w="3264"/>
            <w:vAlign w:val="center"/>
          </w:tcPr>
          <w:p>
            <w:pPr>
              <w:spacing w:before="0" w:after="0" w:line="240" w:lineRule="auto"/>
            </w:pPr>
            <w:r>
              <w:rPr>
                <w:sz w:val="18"/>
              </w:rPr>
              <w:t>Without this, chemistry and optics never follow</w:t>
            </w:r>
          </w:p>
        </w:tc>
      </w:tr>
      <w:tr>
        <w:tc>
          <w:tcPr>
            <w:tcW w:type="dxa" w:w="3264"/>
            <w:vAlign w:val="center"/>
          </w:tcPr>
          <w:p>
            <w:pPr>
              <w:spacing w:before="0" w:after="0" w:line="240" w:lineRule="auto"/>
            </w:pPr>
            <w:r>
              <w:rPr>
                <w:sz w:val="18"/>
              </w:rPr>
              <w:t>Topology selection</w:t>
            </w:r>
          </w:p>
        </w:tc>
        <w:tc>
          <w:tcPr>
            <w:tcW w:type="dxa" w:w="3264"/>
            <w:vAlign w:val="center"/>
          </w:tcPr>
          <w:p>
            <w:pPr>
              <w:spacing w:line="240" w:lineRule="auto" w:before="0" w:after="0"/>
            </w:pPr>
            <w:r>
              <w:rPr>
                <w:sz w:val="18"/>
              </w:rPr>
              <w:t>Toroidal machine is preferred over rival closures</w:t>
            </w:r>
          </w:p>
        </w:tc>
        <w:tc>
          <w:tcPr>
            <w:tcW w:type="dxa" w:w="3264"/>
            <w:vAlign w:val="center"/>
          </w:tcPr>
          <w:p>
            <w:pPr>
              <w:spacing w:before="0" w:after="0" w:line="240" w:lineRule="auto"/>
            </w:pPr>
            <w:r>
              <w:rPr>
                <w:sz w:val="18"/>
              </w:rPr>
              <w:t>Otherwise it remains a plausible toy rather than a necessity</w:t>
            </w:r>
          </w:p>
        </w:tc>
      </w:tr>
      <w:tr>
        <w:tc>
          <w:tcPr>
            <w:tcW w:type="dxa" w:w="3264"/>
            <w:vAlign w:val="center"/>
          </w:tcPr>
          <w:p>
            <w:pPr>
              <w:spacing w:before="0" w:after="0" w:line="240" w:lineRule="auto"/>
            </w:pPr>
            <w:r>
              <w:rPr>
                <w:sz w:val="18"/>
              </w:rPr>
              <w:t>Cross-scale scaling</w:t>
            </w:r>
          </w:p>
        </w:tc>
        <w:tc>
          <w:tcPr>
            <w:tcW w:type="dxa" w:w="3264"/>
            <w:vAlign w:val="center"/>
          </w:tcPr>
          <w:p>
            <w:pPr>
              <w:spacing w:line="240" w:lineRule="auto" w:before="0" w:after="0"/>
            </w:pPr>
            <w:r>
              <w:rPr>
                <w:sz w:val="18"/>
              </w:rPr>
              <w:t>One mechanism scales from particle to stellar regimes</w:t>
            </w:r>
          </w:p>
        </w:tc>
        <w:tc>
          <w:tcPr>
            <w:tcW w:type="dxa" w:w="3264"/>
            <w:vAlign w:val="center"/>
          </w:tcPr>
          <w:p>
            <w:pPr>
              <w:spacing w:line="240" w:lineRule="auto" w:before="0" w:after="0"/>
            </w:pPr>
            <w:r>
              <w:rPr>
                <w:sz w:val="18"/>
              </w:rPr>
              <w:t>Otherwise SDT breaks into special cases</w:t>
            </w:r>
          </w:p>
        </w:tc>
      </w:tr>
    </w:tbl>
    <w:p>
      <w:pPr>
        <w:pStyle w:val="Heading1Custom"/>
      </w:pPr>
      <w:r>
        <w:t>12. Reframed Research Program</w:t>
      </w:r>
    </w:p>
    <w:p>
      <w:pPr/>
      <w:r>
        <w:t>The torus should now be treated as a candidate solver of the deeper traction problem, not as an article of faith. The mathematically correct program is:</w:t>
      </w:r>
    </w:p>
    <w:p>
      <w:pPr>
        <w:ind w:left="288"/>
      </w:pPr>
      <w:r>
        <w:rPr>
          <w:b/>
        </w:rPr>
        <w:t xml:space="preserve">1. </w:t>
      </w:r>
      <w:r>
        <w:t>derive the local boundary recurrence rule for contact, deflection, and reclosure</w:t>
      </w:r>
    </w:p>
    <w:p>
      <w:pPr>
        <w:ind w:left="288"/>
      </w:pPr>
      <w:r>
        <w:rPr>
          <w:b/>
        </w:rPr>
        <w:t xml:space="preserve">2. </w:t>
      </w:r>
      <w:r>
        <w:t>derive the angular transmission law for light through wake-conditioned regions</w:t>
      </w:r>
    </w:p>
    <w:p>
      <w:pPr>
        <w:ind w:left="288"/>
      </w:pPr>
      <w:r>
        <w:rPr>
          <w:b/>
        </w:rPr>
        <w:t xml:space="preserve">3. </w:t>
      </w:r>
      <w:r>
        <w:t>derive the modal locking conditions for toroidal, poloidal, and contrarotational flow</w:t>
      </w:r>
    </w:p>
    <w:p>
      <w:pPr>
        <w:ind w:left="288"/>
      </w:pPr>
      <w:r>
        <w:rPr>
          <w:b/>
        </w:rPr>
        <w:t xml:space="preserve">4. </w:t>
      </w:r>
      <w:r>
        <w:t>derive the stable aperture law for the axial corridor</w:t>
      </w:r>
    </w:p>
    <w:p>
      <w:pPr>
        <w:ind w:left="288"/>
      </w:pPr>
      <w:r>
        <w:rPr>
          <w:b/>
        </w:rPr>
        <w:t xml:space="preserve">5. </w:t>
      </w:r>
      <w:r>
        <w:t>derive the topology-to-field transmission operator linking internal topology to external wake and electron architecture</w:t>
      </w:r>
    </w:p>
    <w:p>
      <w:pPr>
        <w:ind w:left="288"/>
      </w:pPr>
      <w:r>
        <w:rPr>
          <w:b/>
        </w:rPr>
        <w:t xml:space="preserve">6. </w:t>
      </w:r>
      <w:r>
        <w:t>search the topology family for the first stable recurrence under convergent load</w:t>
      </w:r>
    </w:p>
    <w:p>
      <w:pPr>
        <w:pStyle w:val="Heading1Custom"/>
      </w:pPr>
      <w:r>
        <w:t>13. Compressed Statement</w:t>
      </w:r>
    </w:p>
    <w:p>
      <w:pPr/>
      <w:r>
        <w:rPr>
          <w:b/>
        </w:rPr>
        <w:t>Matter is a stable strategy for exploiting the continuously transmitted influx at every spation-scale boundary contact. The wake is the real, resolvable engine that writes anisotropic pressure gradients into the surrounding medium. Light propagates through that wake-conditioned medium faster than the wake reorganises it, so optical bending, scattering, and diffusion are consequences of local angular transmission through a structured substrate. The toroidal architecture matters insofar as it provides a fault-tolerant modal machine—toroidal closure, poloidal cross-coupling, and contrarotational stabilization—capable of turning blocked influx into spin, preserving an axial through-channel, and routing local roughness through redundant modes rather than grinding to a halt.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before="0" w:after="40" w:line="269" w:lineRule="auto"/>
    </w:pPr>
    <w:rPr>
      <w:rFonts w:ascii="Aptos" w:hAnsi="Aptos"/>
      <w:b/>
      <w:color w:val="1E3763"/>
      <w:sz w:val="40"/>
    </w:rPr>
  </w:style>
  <w:style w:type="paragraph" w:customStyle="1" w:styleId="SubtitleCustom">
    <w:name w:val="SubtitleCustom"/>
    <w:basedOn w:val="Normal"/>
    <w:pPr>
      <w:spacing w:before="0" w:after="240" w:line="269" w:lineRule="auto"/>
    </w:pPr>
    <w:rPr>
      <w:rFonts w:ascii="Aptos" w:hAnsi="Aptos"/>
      <w:b w:val="0"/>
      <w:color w:val="5A5A5A"/>
      <w:sz w:val="19"/>
    </w:rPr>
  </w:style>
  <w:style w:type="paragraph" w:customStyle="1" w:styleId="Heading1Custom">
    <w:name w:val="Heading1Custom"/>
    <w:basedOn w:val="Normal"/>
    <w:pPr>
      <w:spacing w:before="280" w:after="80" w:line="269" w:lineRule="auto"/>
    </w:pPr>
    <w:rPr>
      <w:rFonts w:ascii="Aptos" w:hAnsi="Aptos"/>
      <w:b/>
      <w:color w:val="1E3763"/>
      <w:sz w:val="28"/>
    </w:rPr>
  </w:style>
  <w:style w:type="paragraph" w:customStyle="1" w:styleId="Heading2Custom">
    <w:name w:val="Heading2Custom"/>
    <w:basedOn w:val="Normal"/>
    <w:pPr>
      <w:spacing w:before="200" w:after="40" w:line="269" w:lineRule="auto"/>
    </w:pPr>
    <w:rPr>
      <w:rFonts w:ascii="Aptos" w:hAnsi="Aptos"/>
      <w:b/>
      <w:color w:val="373737"/>
      <w:sz w:val="23"/>
    </w:rPr>
  </w:style>
  <w:style w:type="paragraph" w:customStyle="1" w:styleId="EqCustom">
    <w:name w:val="EqCustom"/>
    <w:basedOn w:val="Normal"/>
    <w:pPr>
      <w:spacing w:before="60" w:after="60" w:line="269" w:lineRule="auto"/>
    </w:pPr>
    <w:rPr>
      <w:rFonts w:ascii="Aptos" w:hAnsi="Aptos"/>
      <w:b w:val="0"/>
      <w:color w:val="14141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