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4"/>
        </w:rPr>
        <w:t>COTIZACIÓN</w:t>
      </w:r>
    </w:p>
    <w:p>
      <w:pPr>
        <w:jc w:val="center"/>
      </w:pPr>
      <w:r>
        <w:rPr>
          <w:i/>
        </w:rPr>
        <w:t>Análisis funcional y técnico – Control de administración y arriendo de bins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Por definir</w:t>
            </w:r>
          </w:p>
        </w:tc>
      </w:tr>
      <w:tr>
        <w:tc>
          <w:tcPr>
            <w:tcW w:type="dxa" w:w="23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23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pStyle w:val="Heading1"/>
        <w:spacing w:before="160" w:after="80"/>
      </w:pPr>
      <w:r>
        <w:rPr>
          <w:rFonts w:ascii="Aptos Display" w:hAnsi="Aptos Display"/>
        </w:rPr>
        <w:t>1. Objetivo</w:t>
      </w:r>
    </w:p>
    <w:p>
      <w:r>
        <w:t>Realizar el análisis funcional y técnico para definir un módulo que permita administrar el inventario de bins de la planta, controlar su arriendo a productores y disponer de información sobre disponibilidad, vencimientos y estado de pago.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2. Alcance del análisis</w:t>
      </w:r>
    </w:p>
    <w:p>
      <w:pPr>
        <w:pStyle w:val="ListBullet"/>
        <w:spacing w:after="40"/>
      </w:pPr>
      <w:r>
        <w:t>Catálogo de tipos y modelos de bins, con control de cantidades total, disponible, arrendada y dada de baja.</w:t>
      </w:r>
    </w:p>
    <w:p>
      <w:pPr>
        <w:pStyle w:val="ListBullet"/>
        <w:spacing w:after="40"/>
      </w:pPr>
      <w:r>
        <w:t>Registro de arriendos asociados a productores, incluyendo cantidad, tipo, modelo, fecha de inicio y fecha de término.</w:t>
      </w:r>
    </w:p>
    <w:p>
      <w:pPr>
        <w:pStyle w:val="ListBullet"/>
        <w:spacing w:after="40"/>
      </w:pPr>
      <w:r>
        <w:t>Definición de estados del bin y del arriendo: disponible, arrendado, en reparación, dado de baja, vigente, por vencer, vencido, terminado o anulado.</w:t>
      </w:r>
    </w:p>
    <w:p>
      <w:pPr>
        <w:pStyle w:val="ListBullet"/>
        <w:spacing w:after="40"/>
      </w:pPr>
      <w:r>
        <w:t>Control administrativo simple de pagos: pendiente, pagado, parcialmente pagado y vencido.</w:t>
      </w:r>
    </w:p>
    <w:p>
      <w:pPr>
        <w:pStyle w:val="ListBullet"/>
        <w:spacing w:after="40"/>
      </w:pPr>
      <w:r>
        <w:t>Flujo de entrega y devolución, incluyendo faltantes, daños, reparación y reintegro al inventario.</w:t>
      </w:r>
    </w:p>
    <w:p>
      <w:pPr>
        <w:pStyle w:val="ListBullet"/>
        <w:spacing w:after="40"/>
      </w:pPr>
      <w:r>
        <w:t>Alertas por correo para arriendos próximos a vencer, devoluciones pendientes y pagos vencidos.</w:t>
      </w:r>
    </w:p>
    <w:p>
      <w:pPr>
        <w:pStyle w:val="ListBullet"/>
        <w:spacing w:after="40"/>
      </w:pPr>
      <w:r>
        <w:t>Dashboard con bins arrendados, disponibles, dados de baja, productores al día, por vencer y vencidos.</w:t>
      </w:r>
    </w:p>
    <w:p>
      <w:pPr>
        <w:pStyle w:val="ListBullet"/>
        <w:spacing w:after="40"/>
      </w:pPr>
      <w:r>
        <w:t>Consultas, filtros y reportes exportables de inventario, arriendos, vencimientos, pagos y devoluciones.</w:t>
      </w:r>
    </w:p>
    <w:p>
      <w:pPr>
        <w:pStyle w:val="ListBullet"/>
        <w:spacing w:after="40"/>
      </w:pPr>
      <w:r>
        <w:t>Integración con la capa de Seguridad existente para los permisos del módulo; no se desarrollará una seguridad paralela.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3. Entregables</w:t>
      </w:r>
    </w:p>
    <w:p>
      <w:pPr>
        <w:pStyle w:val="ListBullet"/>
        <w:spacing w:after="40"/>
      </w:pPr>
      <w:r>
        <w:t>Documento de levantamiento y definición funcional.</w:t>
      </w:r>
    </w:p>
    <w:p>
      <w:pPr>
        <w:pStyle w:val="ListBullet"/>
        <w:spacing w:after="40"/>
      </w:pPr>
      <w:r>
        <w:t>Modelo conceptual de datos y relaciones con productores, empresas, recepciones e inventario.</w:t>
      </w:r>
    </w:p>
    <w:p>
      <w:pPr>
        <w:pStyle w:val="ListBullet"/>
        <w:spacing w:after="40"/>
      </w:pPr>
      <w:r>
        <w:t>Flujos de alta, entrega, devolución, renovación, pago, baja y vencimiento.</w:t>
      </w:r>
    </w:p>
    <w:p>
      <w:pPr>
        <w:pStyle w:val="ListBullet"/>
        <w:spacing w:after="40"/>
      </w:pPr>
      <w:r>
        <w:t>Matriz de estados, validaciones y reglas de negocio.</w:t>
      </w:r>
    </w:p>
    <w:p>
      <w:pPr>
        <w:pStyle w:val="ListBullet"/>
        <w:spacing w:after="40"/>
      </w:pPr>
      <w:r>
        <w:t>Definición de indicadores y filtros del dashboard.</w:t>
      </w:r>
    </w:p>
    <w:p>
      <w:pPr>
        <w:pStyle w:val="ListBullet"/>
        <w:spacing w:after="40"/>
      </w:pPr>
      <w:r>
        <w:t>Propuesta de endpoints, pantallas, reportes y notificaciones.</w:t>
      </w:r>
    </w:p>
    <w:p>
      <w:pPr>
        <w:pStyle w:val="ListBullet"/>
        <w:spacing w:after="40"/>
      </w:pPr>
      <w:r>
        <w:t>Estimación separada para la etapa de desarrollo e implementación.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4. Estimación de esfuerzo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 (UF)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Levantamiento y definición del proceso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Inventario, tipos, estados y stock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Arriendos, entregas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Pagos y reglas administrativas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Alertas y notificaciones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Modelo de datos e integración CONEX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Documento final y estimación de desarrollo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c>
          <w:tcPr>
            <w:tcW w:type="dxa" w:w="355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TOTAL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42 horas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42 UF</w:t>
            </w:r>
          </w:p>
        </w:tc>
      </w:tr>
    </w:tbl>
    <w:p>
      <w:r>
        <w:t>Tarifa considerada: 1 UF por hora de desarrollo/análisis. La estimación corresponde a un desarrollador trabajando exclusivamente en la etapa de análisis.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5. Plazo estimado</w:t>
      </w:r>
    </w:p>
    <w:p>
      <w:r>
        <w:t>El análisis se estima en 42 horas, equivalentes a aproximadamente 5,25 jornadas de trabajo. El calendario final dependerá de la disponibilidad de usuarios clave y de la entrega de antecedentes del proceso actual.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6. Supuestos y exclusiones</w:t>
      </w:r>
    </w:p>
    <w:p>
      <w:pPr>
        <w:pStyle w:val="ListBullet"/>
        <w:spacing w:after="40"/>
      </w:pPr>
      <w:r>
        <w:t>El módulo se incorporará al modelo actual de CONEX, respetando la empresa de la sesión y las tablas existentes cuando corresponda.</w:t>
      </w:r>
    </w:p>
    <w:p>
      <w:pPr>
        <w:pStyle w:val="ListBullet"/>
        <w:spacing w:after="40"/>
      </w:pPr>
      <w:r>
        <w:t>Los permisos serán administrados por la capa de Seguridad existente.</w:t>
      </w:r>
    </w:p>
    <w:p>
      <w:pPr>
        <w:pStyle w:val="ListBullet"/>
        <w:spacing w:after="40"/>
      </w:pPr>
      <w:r>
        <w:t>La vista utilizará el diseño responsive ya disponible en la aplicación; no se considera un desarrollo móvil independiente.</w:t>
      </w:r>
    </w:p>
    <w:p>
      <w:pPr>
        <w:pStyle w:val="ListBullet"/>
        <w:spacing w:after="40"/>
      </w:pPr>
      <w:r>
        <w:t>La auditoría detallada de cambios no forma parte de este alcance.</w:t>
      </w:r>
    </w:p>
    <w:p>
      <w:pPr>
        <w:pStyle w:val="ListBullet"/>
        <w:spacing w:after="40"/>
      </w:pPr>
      <w:r>
        <w:t>La cotización corresponde únicamente al análisis; no incluye desarrollo, pruebas de aceptación, carga inicial, puesta en producción ni soporte posterior.</w:t>
      </w:r>
    </w:p>
    <w:p>
      <w:pPr>
        <w:pStyle w:val="ListBullet"/>
        <w:spacing w:after="40"/>
      </w:pPr>
      <w:r>
        <w:t>La integración de correo se definirá funcionalmente durante el análisis; su implementación será cotizada en la etapa de desarrollo.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7. Valor de la propuesta</w:t>
      </w:r>
    </w:p>
    <w:p>
      <w:r>
        <w:rPr>
          <w:b/>
        </w:rPr>
        <w:t xml:space="preserve">Valor total del análisis: </w:t>
      </w:r>
      <w:r>
        <w:rPr>
          <w:b/>
          <w:color w:val="1F4E79"/>
          <w:sz w:val="30"/>
        </w:rPr>
        <w:t>42 UF</w:t>
      </w:r>
    </w:p>
    <w:p>
      <w:r>
        <w:t>El valor en moneda nacional será determinado utilizando el valor de la UF vigente a la fecha de facturación, más los impuestos que correspondan.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8. Aprobación</w:t>
      </w:r>
    </w:p>
    <w:p>
      <w:r>
        <w:t>La aprobación de esta cotización autoriza exclusivamente la ejecución de la etapa de análisis descrita. Cualquier desarrollo posterior será presentado mediante una cotización independiente basada en los entregables obtenidos.</w:t>
      </w:r>
    </w:p>
    <w:p>
      <w:r>
        <w:br/>
        <w:t>Aceptación del cliente: ____________________________________    Fecha: __________________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