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3240"/>
      </w:tblGrid>
      <w:tr>
        <w:trPr>
          <w:trHeight w:val="13176" w:hRule="exact"/>
        </w:trPr>
        <w:tc>
          <w:tcPr>
            <w:tcW w:type="dxa" w:w="5328"/>
            <w:tcMar>
              <w:top w:w="130" w:type="dxa"/>
              <w:start w:w="170" w:type="dxa"/>
              <w:bottom w:w="130" w:type="dxa"/>
              <w:end w:w="170" w:type="dxa"/>
            </w:tcMar>
          </w:tcPr>
          <w:p>
            <w:pPr>
              <w:spacing w:after="60"/>
            </w:pPr>
            <w:r/>
            <w:r>
              <w:rPr>
                <w:b/>
                <w:sz w:val="32"/>
              </w:rPr>
              <w:br/>
              <w:br/>
              <w:t>PROPUESTA COMERCIAL</w:t>
              <w:br/>
              <w:t>Cotización de análisis</w:t>
              <w:br/>
              <w:t>Control de administración y arriendo de bins</w:t>
              <w:br/>
              <w:br/>
            </w:r>
          </w:p>
        </w:tc>
        <w:tc>
          <w:tcPr>
            <w:tcW w:type="dxa" w:w="5328"/>
            <w:tcMar>
              <w:top w:w="160" w:type="dxa"/>
              <w:start w:w="150" w:type="dxa"/>
              <w:bottom w:w="160" w:type="dxa"/>
              <w:end w:w="130" w:type="dxa"/>
            </w:tcMar>
            <w:shd w:fill="F44336"/>
          </w:tcPr>
          <w:p>
            <w:pPr>
              <w:spacing w:after="60"/>
            </w:pPr>
            <w:r/>
            <w:r>
              <w:rPr>
                <w:b w:val="0"/>
                <w:sz w:val="20"/>
              </w:rPr>
              <w:t>APInformatica Ltda</w:t>
              <w:br/>
              <w:t>Soluciones a tu Medida</w:t>
              <w:br/>
              <w:t>Proyecto</w:t>
              <w:br/>
              <w:t>Control de bins</w:t>
              <w:br/>
              <w:t>14 de agosto de 2026</w:t>
            </w:r>
          </w:p>
        </w:tc>
      </w:tr>
    </w:tbl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01  Objetivo y visión general</w:t>
              <w:br/>
              <w:t>Una solución para administrar inventario, arriendos, pagos y vencimientos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El análisis definirá un módulo integrado al modelo actual de CONEX para registrar los bins disponibles en planta, asignarlos en arriendo a productores y controlar su estado administrativo durante todo el ciclo de vida.</w:t>
            </w:r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El resultado será una especificación funcional y técnica lista para cotizar el desarrollo, con reglas de negocio, datos, flujos, indicadores, alertas y reportes.</w:t>
            </w:r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0"/>
      </w:pPr>
      <w:r/>
    </w:p>
    <w:p>
      <w:pPr>
        <w:spacing w:after="160" w:line="259" w:lineRule="auto"/>
        <w:jc w:val="both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4680"/>
      </w:tblGrid>
      <w:tr>
        <w:tc>
          <w:tcPr>
            <w:tcW w:type="dxa" w:w="53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</w:rPr>
              <w:t>ALCANCE FUNCIONAL</w:t>
              <w:br/>
              <w:t>Catálogo de tipos y modelos.</w:t>
              <w:br/>
              <w:t>Inventario por estado y cantidad.</w:t>
              <w:br/>
              <w:t>Arriendos asociados a productores.</w:t>
              <w:br/>
              <w:t>Entregas, devoluciones y faltantes.</w:t>
            </w:r>
          </w:p>
        </w:tc>
        <w:tc>
          <w:tcPr>
            <w:tcW w:type="dxa" w:w="5328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</w:rPr>
              <w:t>VALOR PARA LA OPERACIÓN</w:t>
              <w:br/>
              <w:t>Visibilidad de stock.</w:t>
              <w:br/>
              <w:t>Control de contratos y vencimientos.</w:t>
              <w:br/>
              <w:t>Seguimiento simple de pagos.</w:t>
              <w:br/>
              <w:t>Decisiones rápidas desde dashboard.</w:t>
            </w:r>
          </w:p>
        </w:tc>
      </w:tr>
    </w:tbl>
    <w:p>
      <w:r/>
    </w:p>
    <w:p>
      <w:pPr>
        <w:spacing w:after="0" w:line="259" w:lineRule="auto"/>
        <w:jc w:val="left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02  Inventario y ciclo de arriendo</w:t>
              <w:br/>
              <w:t>Desde la disponibilidad en planta hasta la devolución o baja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INVENTARIO</w:t>
              <w:br/>
              <w:t>Tipos y modelos de bins.</w:t>
              <w:br/>
              <w:t>Cantidad total, disponible y arrendada.</w:t>
              <w:br/>
              <w:t>Bins en reparación o dados de baja.</w:t>
              <w:br/>
              <w:t>Identificación individual opcional mediante código o QR.</w:t>
            </w:r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ARRIENDO</w:t>
              <w:br/>
              <w:t>Productor responsable.</w:t>
              <w:br/>
              <w:t>Cantidad y tipo de bin.</w:t>
              <w:br/>
              <w:t>Fecha de inicio y término.</w:t>
              <w:br/>
              <w:t>Estados: vigente, por vencer, vencido, terminado o anulado.</w:t>
            </w:r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ENTREGA Y DEVOLUCIÓN</w:t>
              <w:br/>
              <w:t>Fecha y responsable.</w:t>
              <w:br/>
              <w:t>Cantidad devuelta.</w:t>
              <w:br/>
              <w:t>Faltantes o daños.</w:t>
              <w:br/>
              <w:t>Reintegro al stock, reparación o baja.</w:t>
            </w:r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PAGOS</w:t>
              <w:br/>
              <w:t>Pendiente.</w:t>
              <w:br/>
              <w:t>Pagado.</w:t>
              <w:br/>
              <w:t>Parcialmente pagado.</w:t>
              <w:br/>
              <w:t>Vencido.</w:t>
              <w:br/>
              <w:t>Monto y comprobante opcionales.</w:t>
            </w:r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RENOVACIÓN</w:t>
              <w:br/>
              <w:t>Extensión del período sin duplicar el registro.</w:t>
              <w:br/>
              <w:t>Control de historial de períodos y estado actualizado.</w:t>
            </w:r>
          </w:p>
        </w:tc>
      </w:tr>
    </w:tbl>
    <w:p>
      <w:pPr>
        <w:spacing w:after="0"/>
      </w:pPr>
      <w:r/>
    </w:p>
    <w:p>
      <w:pPr>
        <w:jc w:val="center"/>
      </w:pPr>
      <w:r/>
    </w:p>
    <w:p>
      <w:pPr>
        <w:spacing w:after="0" w:line="259" w:lineRule="auto"/>
        <w:jc w:val="both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03  Alertas y dashboard ejecutivo</w:t>
              <w:br/>
              <w:t>Información operativa para anticipar vencimientos y diferencias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ALERTAS</w:t>
              <w:br/>
              <w:t>Correos parametrizables a 30, 15 y 7 días antes del término.</w:t>
              <w:br/>
              <w:t>Avisos por arriendo vencido, devolución pendiente y pago vencido.</w:t>
              <w:br/>
              <w:t>Destinatarios definidos por la empresa.</w:t>
            </w:r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INDICADORES</w:t>
              <w:br/>
              <w:t>Bins totales, disponibles, arrendados, en reparación y dados de baja.</w:t>
              <w:br/>
              <w:t>Productores al día, por vencer y vencidos.</w:t>
              <w:br/>
              <w:t>Pagos pendientes y arriendos próximos a término.</w:t>
            </w:r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FILTROS Y REPORTES</w:t>
              <w:br/>
              <w:t>Productor, tipo, modelo, estado, temporada y rango de fechas.</w:t>
              <w:br/>
              <w:t>Exportación de inventario, arriendos, vencimientos, pagos y devoluciones.</w:t>
            </w:r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0"/>
      </w:pPr>
      <w:r/>
    </w:p>
    <w:p>
      <w:pPr>
        <w:jc w:val="center"/>
      </w:pPr>
      <w:r/>
    </w:p>
    <w:p>
      <w:pPr>
        <w:spacing w:after="0" w:line="259" w:lineRule="auto"/>
        <w:jc w:val="center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04  Integración con CONEX y reglas de negocio</w:t>
              <w:br/>
              <w:t>Compatible con el modelo actual de empresa y seguridad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/>
                <w:sz w:val="18"/>
              </w:rPr>
              <w:t>NAVEGADOR</w:t>
            </w:r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/>
                <w:sz w:val="20"/>
              </w:rPr>
              <w:t>→</w:t>
            </w:r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/>
                <w:sz w:val="18"/>
              </w:rPr>
              <w:t>REACT</w:t>
            </w:r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/>
                <w:sz w:val="20"/>
              </w:rPr>
              <w:t>→</w:t>
            </w:r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/>
                <w:sz w:val="18"/>
              </w:rPr>
              <w:t>NODE / EXPRESS</w:t>
            </w:r>
          </w:p>
        </w:tc>
      </w:tr>
    </w:tbl>
    <w:p>
      <w:pPr>
        <w:spacing w:after="0"/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111111"/>
          </w:tcPr>
          <w:p>
            <w:r/>
          </w:p>
        </w:tc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FFFFFF"/>
          </w:tcPr>
          <w:p>
            <w:r/>
          </w:p>
        </w:tc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F44336"/>
          </w:tcPr>
          <w:p>
            <w:r/>
          </w:p>
        </w:tc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FFFFFF"/>
          </w:tcPr>
          <w:p>
            <w:r/>
          </w:p>
        </w:tc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111111"/>
          </w:tcPr>
          <w:p>
            <w:r/>
          </w:p>
        </w:tc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FFFFFF"/>
          </w:tcPr>
          <w:p>
            <w:r/>
          </w:p>
        </w:tc>
        <w:tc>
          <w:tcPr>
            <w:tcW w:type="dxa" w:w="1522"/>
            <w:tcMar>
              <w:top w:w="85" w:type="dxa"/>
              <w:start w:w="25" w:type="dxa"/>
              <w:bottom w:w="85" w:type="dxa"/>
              <w:end w:w="25" w:type="dxa"/>
            </w:tcMar>
            <w:shd w:fill="F44336"/>
          </w:tcPr>
          <w:p>
            <w:r/>
          </w:p>
        </w:tc>
      </w:tr>
    </w:tbl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3816"/>
        <w:gridCol w:w="4176"/>
      </w:tblGrid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44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18"/>
              </w:rPr>
              <w:t>Área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44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18"/>
              </w:rPr>
              <w:t>Definición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44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18"/>
              </w:rPr>
              <w:t>Criterio</w:t>
            </w:r>
          </w:p>
        </w:tc>
      </w:tr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Empresa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Uso de la empresa autenticada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No se acepta EmpCod desde pantalla</w:t>
            </w:r>
          </w:p>
        </w:tc>
      </w:tr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Productores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Asociación con productor existente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Validar catálogo y estado</w:t>
            </w:r>
          </w:p>
        </w:tc>
      </w:tr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Stock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Suma de cantidades por estado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No permitir arriendo sin disponibilidad</w:t>
            </w:r>
          </w:p>
        </w:tc>
      </w:tr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Permisos administrados por capa actual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Sin seguridad paralela</w:t>
            </w:r>
          </w:p>
        </w:tc>
      </w:tr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Datos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Modelo aditivo y compatible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Conservar nombres GX8 cuando aplique</w:t>
            </w:r>
          </w:p>
        </w:tc>
      </w:tr>
      <w:tr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Correo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Servicio de notificaciones</w:t>
            </w:r>
          </w:p>
        </w:tc>
        <w:tc>
          <w:tcPr>
            <w:tcW w:type="dxa" w:w="3552"/>
            <w:tcMar>
              <w:top w:w="60" w:type="dxa"/>
              <w:start w:w="75" w:type="dxa"/>
              <w:bottom w:w="60" w:type="dxa"/>
              <w:end w:w="75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Implementación posterior al análisis</w:t>
            </w:r>
          </w:p>
        </w:tc>
      </w:tr>
    </w:tbl>
    <w:p>
      <w:pPr>
        <w:spacing w:after="0" w:line="259" w:lineRule="auto"/>
        <w:jc w:val="left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05  Entregables del análisis</w:t>
              <w:br/>
              <w:t>Definición suficiente para iniciar una etapa de desarrollo controlada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FUNCIONAL</w:t>
              <w:br/>
              <w:t>Levantamiento del proceso.</w:t>
              <w:br/>
              <w:t>Flujos de alta, entrega, devolución, renovación, pago, baja y vencimiento.</w:t>
              <w:br/>
              <w:t>Matriz de estados, validaciones y reglas.</w:t>
            </w:r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TÉCNICO</w:t>
              <w:br/>
              <w:t>Modelo conceptual de datos.</w:t>
              <w:br/>
              <w:t>Propuesta de endpoints y pantallas.</w:t>
              <w:br/>
              <w:t>Indicadores, filtros, reportes y notificaciones.</w:t>
              <w:br/>
              <w:t>Estimación separada del desarrollo.</w:t>
            </w:r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EXCLUSIONES</w:t>
              <w:br/>
              <w:t>No incluye desarrollo ni puesta en producción.</w:t>
              <w:br/>
              <w:t>No incluye auditoría detallada.</w:t>
              <w:br/>
              <w:t>Permisos a cargo de Seguridad.</w:t>
              <w:br/>
              <w:t>No se considera una aplicación móvil independiente.</w:t>
            </w:r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0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/>
          </w:p>
        </w:tc>
        <w:tc>
          <w:tcPr>
            <w:tcW w:type="dxa" w:w="3552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/>
          </w:p>
        </w:tc>
        <w:tc>
          <w:tcPr>
            <w:tcW w:type="dxa" w:w="3552"/>
            <w:tcMar>
              <w:top w:w="100" w:type="dxa"/>
              <w:start w:w="95" w:type="dxa"/>
              <w:bottom w:w="100" w:type="dxa"/>
              <w:end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r/>
          </w:p>
        </w:tc>
      </w:tr>
    </w:tbl>
    <w:p>
      <w:r/>
    </w:p>
    <w:p>
      <w:pPr>
        <w:spacing w:after="100" w:line="259" w:lineRule="auto"/>
        <w:jc w:val="left"/>
      </w:pPr>
      <w:r/>
    </w:p>
    <w:p>
      <w:pPr>
        <w:spacing w:after="0" w:line="259" w:lineRule="auto"/>
        <w:jc w:val="left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06  Estimación y condiciones comerciales</w:t>
              <w:br/>
              <w:t>Análisis realizado por un desarrollador a 1 UF por hora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0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344"/>
      </w:tblGrid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44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4433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18"/>
              </w:rPr>
              <w:t>Horas / UF / resultado</w:t>
            </w:r>
          </w:p>
        </w:tc>
      </w:tr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Levantamiento y proceso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6 horas · 6 UF</w:t>
              <w:br/>
              <w:t>Definición funcional</w:t>
            </w:r>
          </w:p>
        </w:tc>
      </w:tr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Inventario y estados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5 horas · 5 UF</w:t>
              <w:br/>
              <w:t>Reglas de stock</w:t>
            </w:r>
          </w:p>
        </w:tc>
      </w:tr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Arriendos y devoluciones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6 horas · 6 UF</w:t>
              <w:br/>
              <w:t>Flujos operativos</w:t>
            </w:r>
          </w:p>
        </w:tc>
      </w:tr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Pagos y alertas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10 horas · 10 UF</w:t>
              <w:br/>
              <w:t>Reglas administrativas</w:t>
            </w:r>
          </w:p>
        </w:tc>
      </w:tr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Dashboard y reportes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6F6F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6 horas · 6 UF</w:t>
              <w:br/>
              <w:t>Indicadores</w:t>
            </w:r>
          </w:p>
        </w:tc>
      </w:tr>
      <w:tr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Modelo CONEX, documento y estimación</w:t>
            </w:r>
          </w:p>
        </w:tc>
        <w:tc>
          <w:tcPr>
            <w:tcW w:type="dxa" w:w="5328"/>
            <w:tcMar>
              <w:top w:w="60" w:type="dxa"/>
              <w:start w:w="80" w:type="dxa"/>
              <w:bottom w:w="60" w:type="dxa"/>
              <w:end w:w="80" w:type="dxa"/>
            </w:tcMar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6"/>
              </w:rPr>
              <w:t>9 horas · 9 UF</w:t>
              <w:br/>
              <w:t>Propuesta técnica y entregable final</w:t>
            </w:r>
          </w:p>
        </w:tc>
      </w:tr>
    </w:tbl>
    <w:p>
      <w:r/>
    </w:p>
    <w:p>
      <w:pPr>
        <w:pStyle w:val="ListBullet"/>
        <w:spacing w:after="20"/>
      </w:pPr>
      <w:r/>
    </w:p>
    <w:p>
      <w:pPr>
        <w:pStyle w:val="ListBullet"/>
        <w:spacing w:after="20"/>
      </w:pPr>
      <w:r/>
    </w:p>
    <w:p>
      <w:pPr>
        <w:pStyle w:val="ListBullet"/>
        <w:spacing w:after="20"/>
      </w:pPr>
      <w:r/>
    </w:p>
    <w:p>
      <w:pPr>
        <w:pStyle w:val="ListBullet"/>
        <w:spacing w:after="20"/>
      </w:pPr>
      <w:r/>
    </w:p>
    <w:p>
      <w:pPr>
        <w:pStyle w:val="ListBullet"/>
        <w:spacing w:after="20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07  Valor de la propuesta</w:t>
              <w:br/>
              <w:t>Alcance acotado a análisis funcional y técnico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0"/>
      </w:pPr>
      <w:r/>
    </w:p>
    <w:p>
      <w:pPr>
        <w:spacing w:after="240" w:line="259" w:lineRule="auto"/>
        <w:jc w:val="both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6336"/>
      </w:tblGrid>
      <w:tr>
        <w:tc>
          <w:tcPr>
            <w:tcW w:type="dxa" w:w="5328"/>
            <w:shd w:fill="F44336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22"/>
              </w:rPr>
              <w:t>ANÁLISIS</w:t>
            </w:r>
          </w:p>
        </w:tc>
        <w:tc>
          <w:tcPr>
            <w:tcW w:type="dxa" w:w="5328"/>
            <w:shd w:fill="F6F6F6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32"/>
              </w:rPr>
              <w:t>42 UF + IVA</w:t>
            </w:r>
          </w:p>
        </w:tc>
      </w:tr>
      <w:tr>
        <w:tc>
          <w:tcPr>
            <w:tcW w:type="dxa" w:w="5328"/>
            <w:shd w:fill="F44336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/>
                <w:sz w:val="18"/>
              </w:rPr>
              <w:t>Plazo estimado</w:t>
            </w:r>
          </w:p>
        </w:tc>
        <w:tc>
          <w:tcPr>
            <w:tcW w:type="dxa" w:w="5328"/>
            <w:shd w:fill="F6F6F6"/>
            <w:tcMar>
              <w:top w:w="150" w:type="dxa"/>
              <w:start w:w="120" w:type="dxa"/>
              <w:bottom w:w="150" w:type="dxa"/>
              <w:end w:w="12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60"/>
            </w:pPr>
            <w:r/>
            <w:r>
              <w:rPr>
                <w:b w:val="0"/>
                <w:sz w:val="18"/>
              </w:rPr>
              <w:t>42 horas · aproximadamente 5,25 jornadas de trabajo</w:t>
            </w:r>
          </w:p>
        </w:tc>
      </w:tr>
    </w:tbl>
    <w:p>
      <w:pPr>
        <w:spacing w:after="0" w:line="259" w:lineRule="auto"/>
        <w:jc w:val="left"/>
      </w:pPr>
      <w:r/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"/>
        <w:gridCol w:w="9864"/>
      </w:tblGrid>
      <w:tr>
        <w:tc>
          <w:tcPr>
            <w:tcW w:type="dxa" w:w="5328"/>
            <w:shd w:fill="F4433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/>
          </w:p>
        </w:tc>
        <w:tc>
          <w:tcPr>
            <w:tcW w:type="dxa" w:w="5328"/>
            <w:tcMar>
              <w:top w:w="25" w:type="dxa"/>
              <w:start w:w="120" w:type="dxa"/>
              <w:bottom w:w="25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  <w:sz w:val="26"/>
              </w:rPr>
              <w:t>08  Conclusión ejecutiva y aprobación</w:t>
              <w:br/>
              <w:t>Una base clara para implementar el control de bins en CONEX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44336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CONCLUSIÓN</w:t>
              <w:br/>
              <w:t>La propuesta permitirá ordenar el inventario de bins, transparentar los arriendos, anticipar vencimientos y disponer de una visión ejecutiva de disponibilidad, pagos y productores.</w:t>
            </w:r>
          </w:p>
        </w:tc>
        <w:tc>
          <w:tcPr>
            <w:tcW w:type="dxa" w:w="2131"/>
            <w:shd w:fill="F86A61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APROBACIÓN</w:t>
              <w:br/>
              <w:t>La aprobación autoriza exclusivamente la etapa de análisis. El desarrollo, pruebas, carga inicial, puesta en producción y soporte posterior serán cotizados separadamente.</w:t>
            </w:r>
          </w:p>
        </w:tc>
        <w:tc>
          <w:tcPr>
            <w:tcW w:type="dxa" w:w="2131"/>
            <w:shd w:fill="FA948D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BC4C0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131"/>
            <w:shd w:fill="FFFFFF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0"/>
      </w:pPr>
      <w:r/>
    </w:p>
    <w:p>
      <w:pPr>
        <w:spacing w:after="160" w:line="259" w:lineRule="auto"/>
        <w:jc w:val="both"/>
      </w:pPr>
      <w:r/>
    </w:p>
    <w:p>
      <w:pPr>
        <w:spacing w:after="240" w:line="259" w:lineRule="auto"/>
        <w:jc w:val="both"/>
      </w:pPr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5328"/>
            <w:shd w:fill="F44336"/>
            <w:tcMar>
              <w:top w:w="170" w:type="dxa"/>
              <w:start w:w="130" w:type="dxa"/>
              <w:bottom w:w="170" w:type="dxa"/>
              <w:end w:w="13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CONTÁCTANOS</w:t>
            </w:r>
          </w:p>
        </w:tc>
        <w:tc>
          <w:tcPr>
            <w:tcW w:type="dxa" w:w="5328"/>
            <w:shd w:fill="F6F6F6"/>
            <w:tcMar>
              <w:top w:w="170" w:type="dxa"/>
              <w:start w:w="150" w:type="dxa"/>
              <w:bottom w:w="17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b w:val="0"/>
              </w:rPr>
              <w:t>Marcelo Andrade Vargas</w:t>
              <w:br/>
              <w:t>(+56) 9 7749 3531</w:t>
              <w:br/>
              <w:t>marcelo.andrade@apinformatica.cl</w:t>
              <w:br/>
              <w:t>www.apinformatica.cl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91" w:left="792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E5E5E"/>
        <w:sz w:val="16"/>
      </w:rPr>
      <w:t>APINFORMATICA  |  Informe Integral ADP Casino  |  2026</w:t>
    </w: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56"/>
      <w:gridCol w:w="3456"/>
      <w:gridCol w:w="3456"/>
    </w:tblGrid>
    <w:tr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F44336"/>
          <w:tcMar>
            <w:top w:w="8" w:type="dxa"/>
            <w:start w:w="0" w:type="dxa"/>
            <w:bottom w:w="8" w:type="dxa"/>
            <w:end w:w="0" w:type="dxa"/>
          </w:tcMar>
        </w:tcPr>
        <w:p/>
      </w:tc>
      <w:tc>
        <w:tcPr>
          <w:tcW w:type="dxa" w:w="3456"/>
          <w:shd w:fill="111111"/>
          <w:tcMar>
            <w:top w:w="8" w:type="dxa"/>
            <w:start w:w="0" w:type="dxa"/>
            <w:bottom w:w="8" w:type="dxa"/>
            <w:end w:w="0" w:type="dxa"/>
          </w:tcMar>
        </w:tcPr>
        <w:p/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b w:val="0"/>
      <w:color w:val="5E5E5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11111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111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PCallout">
    <w:name w:val="AP Callout"/>
    <w:rPr>
      <w:rFonts w:ascii="Aptos" w:hAnsi="Aptos"/>
      <w:b/>
      <w:color w:val="11111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