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C4D" w14:textId="6FE5BFDB" w:rsidR="00574D8E" w:rsidRPr="00574D8E" w:rsidRDefault="00574D8E">
      <w:r>
        <w:t xml:space="preserve">Hornecker, E. Buur, J. (2006) Getting a Grip on Tangible Interaction: A Framework on Physical Space and Social Interaction. </w:t>
      </w:r>
      <w:r>
        <w:rPr>
          <w:i/>
          <w:iCs/>
        </w:rPr>
        <w:t xml:space="preserve">CHI 2006 Proceedings </w:t>
      </w:r>
      <w:r>
        <w:t>•</w:t>
      </w:r>
      <w:r>
        <w:t xml:space="preserve"> </w:t>
      </w:r>
      <w:r>
        <w:rPr>
          <w:i/>
          <w:iCs/>
        </w:rPr>
        <w:t xml:space="preserve">Designing for Tangible Interactions </w:t>
      </w:r>
      <w:r>
        <w:t>[online]. [Accessed 30 November 2023].</w:t>
      </w:r>
    </w:p>
    <w:p w14:paraId="01684CA7" w14:textId="37ADE90A" w:rsidR="0083200F" w:rsidRDefault="00574D8E" w:rsidP="000F789D">
      <w:pPr>
        <w:pStyle w:val="ListParagraph"/>
        <w:numPr>
          <w:ilvl w:val="0"/>
          <w:numId w:val="1"/>
        </w:numPr>
      </w:pPr>
      <w:r>
        <w:t>“…</w:t>
      </w:r>
      <w:r>
        <w:t xml:space="preserve">with tangible interfaces we act within and touch the interface itself. Designing tangible interfaces requires not only designing the digital but also the physical, and their interrelations within hybrid </w:t>
      </w:r>
      <w:proofErr w:type="gramStart"/>
      <w:r>
        <w:t>ensembles</w:t>
      </w:r>
      <w:r>
        <w:t>”</w:t>
      </w:r>
      <w:proofErr w:type="gramEnd"/>
    </w:p>
    <w:p w14:paraId="237EDF19" w14:textId="3FE1D17A" w:rsidR="002B1A2D" w:rsidRDefault="000F789D" w:rsidP="002B1A2D">
      <w:pPr>
        <w:pStyle w:val="ListParagraph"/>
        <w:numPr>
          <w:ilvl w:val="0"/>
          <w:numId w:val="1"/>
        </w:numPr>
      </w:pPr>
      <w:r>
        <w:t>“…</w:t>
      </w:r>
      <w:r>
        <w:t xml:space="preserve">building upon users’ experience of interacting with the real world lowers the threshold for activity, the embodiment of interaction objects alleviates the </w:t>
      </w:r>
      <w:r w:rsidRPr="002B1A2D">
        <w:rPr>
          <w:highlight w:val="yellow"/>
        </w:rPr>
        <w:t>‘access bottleneck’</w:t>
      </w:r>
      <w:r>
        <w:t xml:space="preserve"> of the </w:t>
      </w:r>
      <w:proofErr w:type="gramStart"/>
      <w:r>
        <w:t>keyboard</w:t>
      </w:r>
      <w:r>
        <w:t>”</w:t>
      </w:r>
      <w:proofErr w:type="gramEnd"/>
    </w:p>
    <w:p w14:paraId="61F755DA" w14:textId="0E949E6B" w:rsidR="002B1A2D" w:rsidRDefault="002B1A2D" w:rsidP="002B1A2D">
      <w:pPr>
        <w:pStyle w:val="ListParagraph"/>
        <w:numPr>
          <w:ilvl w:val="0"/>
          <w:numId w:val="1"/>
        </w:numPr>
      </w:pPr>
      <w:r>
        <w:t>“</w:t>
      </w:r>
      <w:r w:rsidRPr="002B1A2D">
        <w:rPr>
          <w:highlight w:val="green"/>
        </w:rPr>
        <w:t>Interactive systems, physically embedded within real spaces, offer opportunities for interacting with tangible devices</w:t>
      </w:r>
      <w:r>
        <w:t>”, and so “</w:t>
      </w:r>
      <w:r w:rsidRPr="002B1A2D">
        <w:rPr>
          <w:highlight w:val="green"/>
        </w:rPr>
        <w:t xml:space="preserve">trigger display of digital content or reactive </w:t>
      </w:r>
      <w:proofErr w:type="spellStart"/>
      <w:proofErr w:type="gramStart"/>
      <w:r w:rsidRPr="002B1A2D">
        <w:rPr>
          <w:highlight w:val="green"/>
        </w:rPr>
        <w:t>behaviors</w:t>
      </w:r>
      <w:proofErr w:type="spellEnd"/>
      <w:r>
        <w:t>”</w:t>
      </w:r>
      <w:proofErr w:type="gramEnd"/>
    </w:p>
    <w:p w14:paraId="0F6CEC8E" w14:textId="1289E03C" w:rsidR="0071232D" w:rsidRDefault="0071232D" w:rsidP="002B1A2D">
      <w:pPr>
        <w:pStyle w:val="ListParagraph"/>
        <w:numPr>
          <w:ilvl w:val="0"/>
          <w:numId w:val="1"/>
        </w:numPr>
      </w:pPr>
      <w:r>
        <w:t>“</w:t>
      </w:r>
      <w:proofErr w:type="gramStart"/>
      <w:r w:rsidRPr="0071232D">
        <w:rPr>
          <w:highlight w:val="cyan"/>
        </w:rPr>
        <w:t>sensory</w:t>
      </w:r>
      <w:proofErr w:type="gramEnd"/>
      <w:r w:rsidRPr="0071232D">
        <w:rPr>
          <w:highlight w:val="cyan"/>
        </w:rPr>
        <w:t xml:space="preserve"> richness and action potential of physical objects</w:t>
      </w:r>
      <w:r>
        <w:t>”, so that “</w:t>
      </w:r>
      <w:r w:rsidRPr="0071232D">
        <w:rPr>
          <w:highlight w:val="cyan"/>
        </w:rPr>
        <w:t>meaning is created in the interaction</w:t>
      </w:r>
      <w:r>
        <w:t>”</w:t>
      </w:r>
    </w:p>
    <w:p w14:paraId="44E9E7B1" w14:textId="5B095CA1" w:rsidR="000F789D" w:rsidRDefault="000F789D" w:rsidP="002B1A2D">
      <w:pPr>
        <w:ind w:left="360"/>
      </w:pPr>
      <w:r w:rsidRPr="002B1A2D">
        <w:rPr>
          <w:highlight w:val="yellow"/>
        </w:rPr>
        <w:t xml:space="preserve">Stanton, D. et al. </w:t>
      </w:r>
      <w:r w:rsidRPr="002B1A2D">
        <w:rPr>
          <w:highlight w:val="yellow"/>
        </w:rPr>
        <w:t>(</w:t>
      </w:r>
      <w:r>
        <w:t xml:space="preserve">2001) </w:t>
      </w:r>
      <w:r>
        <w:t xml:space="preserve">Classroom Collaboration in the Design of Tangible Interfaces for Storytelling. </w:t>
      </w:r>
      <w:r w:rsidRPr="000F789D">
        <w:rPr>
          <w:i/>
          <w:iCs/>
        </w:rPr>
        <w:t>Proc. of CHI'01</w:t>
      </w:r>
      <w:r w:rsidR="0071232D">
        <w:rPr>
          <w:i/>
          <w:iCs/>
        </w:rPr>
        <w:t xml:space="preserve"> </w:t>
      </w:r>
      <w:r>
        <w:t xml:space="preserve">[online]. </w:t>
      </w:r>
      <w:r w:rsidR="0071232D">
        <w:t>p</w:t>
      </w:r>
      <w:r>
        <w:t>p.</w:t>
      </w:r>
      <w:r>
        <w:t xml:space="preserve"> 482-489.</w:t>
      </w:r>
      <w:r>
        <w:t xml:space="preserve"> [Accessed 30 November 2023].</w:t>
      </w:r>
    </w:p>
    <w:p w14:paraId="0949B8EA" w14:textId="29F8C9DC" w:rsidR="0071232D" w:rsidRDefault="0071232D" w:rsidP="002B1A2D">
      <w:pPr>
        <w:ind w:left="360"/>
      </w:pPr>
      <w:proofErr w:type="spellStart"/>
      <w:r w:rsidRPr="0071232D">
        <w:rPr>
          <w:highlight w:val="green"/>
        </w:rPr>
        <w:t>Djajadiningrat</w:t>
      </w:r>
      <w:proofErr w:type="spellEnd"/>
      <w:r w:rsidRPr="0071232D">
        <w:rPr>
          <w:highlight w:val="green"/>
        </w:rPr>
        <w:t xml:space="preserve">, T., Overbeeke, K. and </w:t>
      </w:r>
      <w:proofErr w:type="spellStart"/>
      <w:r w:rsidRPr="0071232D">
        <w:rPr>
          <w:highlight w:val="green"/>
        </w:rPr>
        <w:t>Wensveen</w:t>
      </w:r>
      <w:proofErr w:type="spellEnd"/>
      <w:r w:rsidRPr="0071232D">
        <w:rPr>
          <w:highlight w:val="green"/>
        </w:rPr>
        <w:t>, S.</w:t>
      </w:r>
      <w:r>
        <w:t xml:space="preserve"> (2002)</w:t>
      </w:r>
      <w:r>
        <w:t xml:space="preserve"> But how, Donald, tell us how? </w:t>
      </w:r>
      <w:r w:rsidRPr="0071232D">
        <w:rPr>
          <w:i/>
          <w:iCs/>
        </w:rPr>
        <w:t>Proc. of DIS'02</w:t>
      </w:r>
      <w:r>
        <w:rPr>
          <w:i/>
          <w:iCs/>
        </w:rPr>
        <w:t xml:space="preserve"> </w:t>
      </w:r>
      <w:r>
        <w:t>[online</w:t>
      </w:r>
      <w:r>
        <w:rPr>
          <w:sz w:val="24"/>
          <w:szCs w:val="24"/>
        </w:rPr>
        <w:t>]</w:t>
      </w:r>
      <w:r>
        <w:t>. pp.</w:t>
      </w:r>
      <w:r>
        <w:t xml:space="preserve"> 285-291.</w:t>
      </w:r>
      <w:r>
        <w:t xml:space="preserve"> [Accessed 30 November 2023]</w:t>
      </w:r>
    </w:p>
    <w:p w14:paraId="5B4EC08A" w14:textId="16801A0E" w:rsidR="0071232D" w:rsidRDefault="0071232D" w:rsidP="002B1A2D">
      <w:pPr>
        <w:ind w:left="360"/>
      </w:pPr>
      <w:r w:rsidRPr="0071232D">
        <w:rPr>
          <w:highlight w:val="cyan"/>
        </w:rPr>
        <w:t>Ciolfi, L.</w:t>
      </w:r>
      <w:r>
        <w:t xml:space="preserve"> </w:t>
      </w:r>
      <w:r>
        <w:t xml:space="preserve">(2004) </w:t>
      </w:r>
      <w:r w:rsidRPr="0071232D">
        <w:rPr>
          <w:i/>
          <w:iCs/>
        </w:rPr>
        <w:t>Situating 'Place' in Interaction Design: Enhancing the User Experience in Interactive Environments</w:t>
      </w:r>
      <w:r>
        <w:t>. Ph</w:t>
      </w:r>
      <w:r>
        <w:t>D</w:t>
      </w:r>
      <w:r>
        <w:t>, University of Limerick.</w:t>
      </w:r>
    </w:p>
    <w:p w14:paraId="2863DB52" w14:textId="77777777" w:rsidR="00931F92" w:rsidRDefault="00931F92" w:rsidP="002B1A2D">
      <w:pPr>
        <w:ind w:left="360"/>
      </w:pPr>
    </w:p>
    <w:sectPr w:rsidR="00931F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9A50" w14:textId="77777777" w:rsidR="007B3E2B" w:rsidRDefault="007B3E2B" w:rsidP="00574D8E">
      <w:pPr>
        <w:spacing w:after="0" w:line="240" w:lineRule="auto"/>
      </w:pPr>
      <w:r>
        <w:separator/>
      </w:r>
    </w:p>
  </w:endnote>
  <w:endnote w:type="continuationSeparator" w:id="0">
    <w:p w14:paraId="0A666ACB" w14:textId="77777777" w:rsidR="007B3E2B" w:rsidRDefault="007B3E2B" w:rsidP="005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33BE" w14:textId="77777777" w:rsidR="007B3E2B" w:rsidRDefault="007B3E2B" w:rsidP="00574D8E">
      <w:pPr>
        <w:spacing w:after="0" w:line="240" w:lineRule="auto"/>
      </w:pPr>
      <w:r>
        <w:separator/>
      </w:r>
    </w:p>
  </w:footnote>
  <w:footnote w:type="continuationSeparator" w:id="0">
    <w:p w14:paraId="64920A55" w14:textId="77777777" w:rsidR="007B3E2B" w:rsidRDefault="007B3E2B" w:rsidP="0057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37F8" w14:textId="6B01E95A" w:rsidR="00574D8E" w:rsidRDefault="00574D8E">
    <w:pPr>
      <w:pStyle w:val="Header"/>
    </w:pPr>
    <w: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D74"/>
    <w:multiLevelType w:val="hybridMultilevel"/>
    <w:tmpl w:val="A7D8B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9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E"/>
    <w:rsid w:val="000F789D"/>
    <w:rsid w:val="001D1B11"/>
    <w:rsid w:val="001D3D19"/>
    <w:rsid w:val="002B1A2D"/>
    <w:rsid w:val="00574D8E"/>
    <w:rsid w:val="0071232D"/>
    <w:rsid w:val="007B3E2B"/>
    <w:rsid w:val="0083200F"/>
    <w:rsid w:val="00931F92"/>
    <w:rsid w:val="00A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B1AD"/>
  <w15:chartTrackingRefBased/>
  <w15:docId w15:val="{A3A08BCA-8324-459F-9510-8FBA7D0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8E"/>
  </w:style>
  <w:style w:type="paragraph" w:styleId="Footer">
    <w:name w:val="footer"/>
    <w:basedOn w:val="Normal"/>
    <w:link w:val="FooterChar"/>
    <w:uiPriority w:val="99"/>
    <w:unhideWhenUsed/>
    <w:rsid w:val="0057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8E"/>
  </w:style>
  <w:style w:type="paragraph" w:styleId="ListParagraph">
    <w:name w:val="List Paragraph"/>
    <w:basedOn w:val="Normal"/>
    <w:uiPriority w:val="34"/>
    <w:qFormat/>
    <w:rsid w:val="000F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2023-11-30T13:53:00Z</dcterms:created>
  <dcterms:modified xsi:type="dcterms:W3CDTF">2023-11-30T21:57:00Z</dcterms:modified>
</cp:coreProperties>
</file>