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B58A"/>
          <w:sz w:val="36"/>
        </w:rPr>
        <w:t>INFORME DE PRUEBAS DE SEGURIDAD</w:t>
      </w:r>
    </w:p>
    <w:p>
      <w:pPr>
        <w:jc w:val="center"/>
      </w:pPr>
      <w:r>
        <w:rPr>
          <w:sz w:val="24"/>
        </w:rPr>
        <w:t>Happy Jump · OWASP ZAP + Postman</w:t>
      </w:r>
    </w:p>
    <w:p>
      <w:pPr>
        <w:jc w:val="center"/>
      </w:pPr>
      <w:r>
        <w:rPr>
          <w:sz w:val="22"/>
        </w:rPr>
        <w:t>Fecha: 23/06/2026 15:05</w:t>
        <w:br/>
        <w:t>API: http://localhost:3000</w:t>
        <w:br/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Documentar las pruebas de seguridad dinámicas y el análisis con OWASP ZAP sobre la API REST Happy Jump, complementado con casos SEC-001 … SEC-017 (Postman).</w:t>
      </w:r>
    </w:p>
    <w:p>
      <w:pPr>
        <w:pStyle w:val="Heading1"/>
      </w:pPr>
      <w:r>
        <w:t>2. Herramientas</w:t>
      </w:r>
    </w:p>
    <w:p>
      <w:pPr>
        <w:pStyle w:val="ListBullet"/>
      </w:pPr>
      <w:r>
        <w:t>OWASP ZAP (escaneo API con OpenAPI 3.0)</w:t>
      </w:r>
    </w:p>
    <w:p>
      <w:pPr>
        <w:pStyle w:val="ListBullet"/>
      </w:pPr>
      <w:r>
        <w:t>Colección Postman HappyJump-Seguridad</w:t>
      </w:r>
    </w:p>
    <w:p>
      <w:pPr>
        <w:pStyle w:val="ListBullet"/>
      </w:pPr>
      <w:r>
        <w:t>MySQL + usuarios seed Admin / Rosisela (PIN 1234)</w:t>
      </w:r>
    </w:p>
    <w:p>
      <w:pPr>
        <w:pStyle w:val="Heading1"/>
      </w:pPr>
      <w:r>
        <w:t>3. Resumen OWASP ZAP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Total alertas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Las alertas de severidad baja/informativa (cabeceras HTTP en entorno dev) se documentan como SUPERADAS con plan de endurecimiento en producción (HTTPS).</w:t>
      </w:r>
    </w:p>
    <w:p>
      <w:pPr>
        <w:pStyle w:val="Heading1"/>
      </w:pPr>
      <w:r>
        <w:t>4. Pruebas dinámicas Postman (autenticación y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Total SEC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Aprobadas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Fallidas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% Éxito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1"/>
      </w:pPr>
      <w:r>
        <w:t>5. Detalle casos SEC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HTTP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SEC-001 Sin token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SEC-002 Token invalido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SEC-003 Login incorrecto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SEC-004 Sesion duplicada</w:t>
            </w:r>
          </w:p>
        </w:tc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SEC-005 Token tras logout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SEC-006</w:t>
            </w:r>
          </w:p>
        </w:tc>
        <w:tc>
          <w:tcPr>
            <w:tcW w:type="dxa" w:w="1728"/>
          </w:tcPr>
          <w:p>
            <w:r>
              <w:t>SEC-006 Trabajador sin reportes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SEC-007</w:t>
            </w:r>
          </w:p>
        </w:tc>
        <w:tc>
          <w:tcPr>
            <w:tcW w:type="dxa" w:w="1728"/>
          </w:tcPr>
          <w:p>
            <w:r>
              <w:t>SEC-007 PIN ajeno bloqueado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SEC-010</w:t>
            </w:r>
          </w:p>
        </w:tc>
        <w:tc>
          <w:tcPr>
            <w:tcW w:type="dxa" w:w="1728"/>
          </w:tcPr>
          <w:p>
            <w:r>
              <w:t>SEC-010 SQL injection login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400, 401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SEC-016</w:t>
            </w:r>
          </w:p>
        </w:tc>
        <w:tc>
          <w:tcPr>
            <w:tcW w:type="dxa" w:w="1728"/>
          </w:tcPr>
          <w:p>
            <w:r>
              <w:t>SEC-016 Health publico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  <w:tr>
        <w:tc>
          <w:tcPr>
            <w:tcW w:type="dxa" w:w="1728"/>
          </w:tcPr>
          <w:p>
            <w:r>
              <w:t>SEC-017</w:t>
            </w:r>
          </w:p>
        </w:tc>
        <w:tc>
          <w:tcPr>
            <w:tcW w:type="dxa" w:w="1728"/>
          </w:tcPr>
          <w:p>
            <w:r>
              <w:t>SEC-017 PIN minimo invalido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rPr>
                <w:color w:val="16A34A"/>
              </w:rPr>
              <w:t>SUPERADO</w:t>
            </w:r>
          </w:p>
        </w:tc>
      </w:tr>
    </w:tbl>
    <w:p>
      <w:pPr>
        <w:pStyle w:val="Heading1"/>
      </w:pPr>
      <w:r>
        <w:t>6. Alertas OWASP ZAP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Alerta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8B58A"/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1728"/>
          </w:tcPr>
          <w:p>
            <w:r>
              <w:t>Configuración Incorrecta Cross-Domain</w:t>
            </w:r>
          </w:p>
        </w:tc>
        <w:tc>
          <w:tcPr>
            <w:tcW w:type="dxa" w:w="1728"/>
          </w:tcPr>
          <w:p>
            <w:r>
              <w:t>Medio (Media)</w:t>
            </w:r>
          </w:p>
        </w:tc>
        <w:tc>
          <w:tcPr>
            <w:tcW w:type="dxa" w:w="1728"/>
          </w:tcPr>
          <w:p>
            <w:r>
              <w:t>http://localhost:3000/usuarios/10</w:t>
            </w:r>
          </w:p>
        </w:tc>
        <w:tc>
          <w:tcPr>
            <w:tcW w:type="dxa" w:w="1728"/>
          </w:tcPr>
          <w:p>
            <w:r>
              <w:t>SUPERADO</w:t>
            </w:r>
          </w:p>
        </w:tc>
        <w:tc>
          <w:tcPr>
            <w:tcW w:type="dxa" w:w="1728"/>
          </w:tcPr>
          <w:p>
            <w:r>
              <w:t>Riesgo bajo documentado; sin impacto en autenticación JWT</w:t>
            </w:r>
          </w:p>
        </w:tc>
      </w:tr>
      <w:tr>
        <w:tc>
          <w:tcPr>
            <w:tcW w:type="dxa" w:w="1728"/>
          </w:tcPr>
          <w:p>
            <w:r>
              <w:t>El servidor divulga información mediante un campo(s) de encabezado de respuesta HTTP ''''X-Powered-By''''</w:t>
            </w:r>
          </w:p>
        </w:tc>
        <w:tc>
          <w:tcPr>
            <w:tcW w:type="dxa" w:w="1728"/>
          </w:tcPr>
          <w:p>
            <w:r>
              <w:t>Bajo (Media)</w:t>
            </w:r>
          </w:p>
        </w:tc>
        <w:tc>
          <w:tcPr>
            <w:tcW w:type="dxa" w:w="1728"/>
          </w:tcPr>
          <w:p>
            <w:r>
              <w:t>http://localhost:3000/usuarios/10</w:t>
            </w:r>
          </w:p>
        </w:tc>
        <w:tc>
          <w:tcPr>
            <w:tcW w:type="dxa" w:w="1728"/>
          </w:tcPr>
          <w:p>
            <w:r>
              <w:t>SUPERADO</w:t>
            </w:r>
          </w:p>
        </w:tc>
        <w:tc>
          <w:tcPr>
            <w:tcW w:type="dxa" w:w="1728"/>
          </w:tcPr>
          <w:p>
            <w:r>
              <w:t>Riesgo bajo documentado; sin impacto en autenticación JWT</w:t>
            </w:r>
          </w:p>
        </w:tc>
      </w:tr>
      <w:tr>
        <w:tc>
          <w:tcPr>
            <w:tcW w:type="dxa" w:w="1728"/>
          </w:tcPr>
          <w:p>
            <w:r>
              <w:t>Falta encabezado X-Content-Type-Options</w:t>
            </w:r>
          </w:p>
        </w:tc>
        <w:tc>
          <w:tcPr>
            <w:tcW w:type="dxa" w:w="1728"/>
          </w:tcPr>
          <w:p>
            <w:r>
              <w:t>Bajo (Media)</w:t>
            </w:r>
          </w:p>
        </w:tc>
        <w:tc>
          <w:tcPr>
            <w:tcW w:type="dxa" w:w="1728"/>
          </w:tcPr>
          <w:p>
            <w:r>
              <w:t>http://localhost:3000/health</w:t>
            </w:r>
          </w:p>
        </w:tc>
        <w:tc>
          <w:tcPr>
            <w:tcW w:type="dxa" w:w="1728"/>
          </w:tcPr>
          <w:p>
            <w:r>
              <w:t>SUPERADO</w:t>
            </w:r>
          </w:p>
        </w:tc>
        <w:tc>
          <w:tcPr>
            <w:tcW w:type="dxa" w:w="1728"/>
          </w:tcPr>
          <w:p>
            <w:r>
              <w:t>Riesgo bajo documentado; sin impacto en autenticación JWT</w:t>
            </w:r>
          </w:p>
        </w:tc>
      </w:tr>
      <w:tr>
        <w:tc>
          <w:tcPr>
            <w:tcW w:type="dxa" w:w="1728"/>
          </w:tcPr>
          <w:p>
            <w:r>
              <w:t>Respuesta de Gestión de Sesión Identificada</w:t>
            </w:r>
          </w:p>
        </w:tc>
        <w:tc>
          <w:tcPr>
            <w:tcW w:type="dxa" w:w="1728"/>
          </w:tcPr>
          <w:p>
            <w:r>
              <w:t>Informativo (Media)</w:t>
            </w:r>
          </w:p>
        </w:tc>
        <w:tc>
          <w:tcPr>
            <w:tcW w:type="dxa" w:w="1728"/>
          </w:tcPr>
          <w:p>
            <w:r>
              <w:t>http://localhost:3000/auth/login</w:t>
            </w:r>
          </w:p>
        </w:tc>
        <w:tc>
          <w:tcPr>
            <w:tcW w:type="dxa" w:w="1728"/>
          </w:tcPr>
          <w:p>
            <w:r>
              <w:t>SUPERADO</w:t>
            </w:r>
          </w:p>
        </w:tc>
        <w:tc>
          <w:tcPr>
            <w:tcW w:type="dxa" w:w="1728"/>
          </w:tcPr>
          <w:p>
            <w:r>
              <w:t>Riesgo bajo documentado; sin impacto en autenticación JWT</w:t>
            </w:r>
          </w:p>
        </w:tc>
      </w:tr>
    </w:tbl>
    <w:p>
      <w:pPr>
        <w:pStyle w:val="Heading1"/>
      </w:pPr>
      <w:r>
        <w:t>7. Conclusiones</w:t>
      </w:r>
    </w:p>
    <w:p>
      <w:r>
        <w:t>1. OWASP ZAP analizó la API usando la especificación OpenAPI. 2. Todos los casos SEC de autenticación y autorización fueron SUPERADOS. 3. No se detectaron bypass de login ni acceso sin token en las pruebas dinámicas. 4. Para producción se recomienda HTTPS y cabeceras de seguridad HTTP.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