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1"/>
        <w:rPr>
          <w:rFonts w:hint="eastAsia"/>
        </w:rPr>
      </w:pPr>
    </w:p>
    <w:p>
      <w:pPr>
        <w:pStyle w:val="41"/>
      </w:pPr>
    </w:p>
    <w:p>
      <w:pPr>
        <w:spacing w:after="156"/>
        <w:jc w:val="center"/>
        <w:rPr>
          <w:rFonts w:ascii="黑体" w:hAnsi="黑体" w:eastAsia="黑体"/>
          <w:sz w:val="44"/>
          <w:szCs w:val="44"/>
        </w:rPr>
      </w:pPr>
    </w:p>
    <w:p>
      <w:pPr>
        <w:spacing w:after="156"/>
        <w:jc w:val="center"/>
        <w:rPr>
          <w:rFonts w:ascii="黑体" w:hAnsi="黑体" w:eastAsia="黑体"/>
          <w:sz w:val="44"/>
          <w:szCs w:val="44"/>
        </w:rPr>
      </w:pPr>
    </w:p>
    <w:p>
      <w:pPr>
        <w:spacing w:after="156"/>
        <w:jc w:val="center"/>
        <w:rPr>
          <w:rFonts w:ascii="黑体" w:hAnsi="黑体" w:eastAsia="黑体"/>
          <w:b/>
          <w:sz w:val="72"/>
          <w:szCs w:val="72"/>
        </w:rPr>
      </w:pPr>
      <w:r>
        <w:rPr>
          <w:rFonts w:hint="eastAsia" w:ascii="黑体" w:hAnsi="黑体" w:eastAsia="黑体"/>
          <w:b/>
          <w:sz w:val="72"/>
          <w:szCs w:val="72"/>
        </w:rPr>
        <w:t>乌鲁木齐扫码过闸</w:t>
      </w:r>
    </w:p>
    <w:p>
      <w:pPr>
        <w:spacing w:after="156"/>
        <w:jc w:val="center"/>
        <w:rPr>
          <w:rFonts w:ascii="黑体" w:hAnsi="黑体" w:eastAsia="黑体"/>
          <w:b/>
          <w:sz w:val="52"/>
          <w:szCs w:val="52"/>
        </w:rPr>
      </w:pPr>
      <w:r>
        <w:rPr>
          <w:rFonts w:hint="eastAsia" w:ascii="黑体" w:hAnsi="黑体" w:eastAsia="黑体"/>
          <w:b/>
          <w:sz w:val="72"/>
          <w:szCs w:val="72"/>
        </w:rPr>
        <w:t>改造方案</w:t>
      </w:r>
    </w:p>
    <w:p>
      <w:pPr>
        <w:spacing w:after="156"/>
        <w:jc w:val="center"/>
        <w:rPr>
          <w:rFonts w:ascii="黑体" w:hAnsi="黑体" w:eastAsia="黑体"/>
          <w:b/>
          <w:sz w:val="52"/>
          <w:szCs w:val="52"/>
        </w:rPr>
      </w:pPr>
    </w:p>
    <w:p>
      <w:pPr>
        <w:spacing w:after="156"/>
        <w:jc w:val="center"/>
        <w:rPr>
          <w:rFonts w:ascii="黑体" w:hAnsi="黑体" w:eastAsia="黑体"/>
          <w:b/>
          <w:sz w:val="52"/>
          <w:szCs w:val="52"/>
        </w:rPr>
      </w:pPr>
    </w:p>
    <w:p>
      <w:pPr>
        <w:spacing w:after="156"/>
        <w:jc w:val="center"/>
        <w:rPr>
          <w:rFonts w:ascii="黑体" w:hAnsi="黑体" w:eastAsia="黑体"/>
          <w:b/>
          <w:sz w:val="52"/>
          <w:szCs w:val="52"/>
        </w:rPr>
      </w:pPr>
    </w:p>
    <w:p>
      <w:pPr>
        <w:spacing w:after="156"/>
        <w:jc w:val="center"/>
        <w:rPr>
          <w:rFonts w:ascii="黑体" w:hAnsi="黑体" w:eastAsia="黑体"/>
          <w:b/>
          <w:sz w:val="52"/>
          <w:szCs w:val="52"/>
        </w:rPr>
      </w:pPr>
    </w:p>
    <w:p>
      <w:pPr>
        <w:spacing w:after="156"/>
        <w:jc w:val="center"/>
        <w:rPr>
          <w:rFonts w:ascii="黑体" w:hAnsi="黑体" w:eastAsia="黑体"/>
          <w:b/>
          <w:sz w:val="28"/>
          <w:szCs w:val="28"/>
        </w:rPr>
      </w:pPr>
      <w:r>
        <w:rPr>
          <w:rFonts w:hint="eastAsia" w:ascii="黑体" w:hAnsi="黑体" w:eastAsia="黑体"/>
          <w:b/>
          <w:sz w:val="28"/>
          <w:szCs w:val="28"/>
        </w:rPr>
        <w:t>小码联城</w:t>
      </w:r>
    </w:p>
    <w:p>
      <w:pPr>
        <w:pStyle w:val="41"/>
        <w:jc w:val="center"/>
      </w:pPr>
      <w:r>
        <w:rPr>
          <w:rFonts w:hint="eastAsia" w:ascii="黑体" w:hAnsi="黑体" w:eastAsia="黑体"/>
          <w:b/>
          <w:sz w:val="28"/>
          <w:szCs w:val="28"/>
        </w:rPr>
        <w:t>2018年01月16日</w:t>
      </w:r>
    </w:p>
    <w:p>
      <w:pPr>
        <w:pStyle w:val="41"/>
      </w:pPr>
    </w:p>
    <w:p>
      <w:pPr>
        <w:pStyle w:val="41"/>
        <w:jc w:val="center"/>
      </w:pPr>
      <w:r>
        <w:br w:type="page"/>
      </w:r>
    </w:p>
    <w:p>
      <w:pPr>
        <w:pStyle w:val="41"/>
        <w:jc w:val="center"/>
      </w:pPr>
    </w:p>
    <w:tbl>
      <w:tblPr>
        <w:tblStyle w:val="38"/>
        <w:tblpPr w:leftFromText="180" w:rightFromText="180" w:vertAnchor="text" w:horzAnchor="page" w:tblpX="1574" w:tblpY="87"/>
        <w:tblOverlap w:val="never"/>
        <w:tblW w:w="9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418"/>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4" w:hRule="atLeast"/>
        </w:trPr>
        <w:tc>
          <w:tcPr>
            <w:tcW w:w="9498" w:type="dxa"/>
            <w:gridSpan w:val="3"/>
            <w:tcBorders>
              <w:top w:val="double" w:color="auto" w:sz="4" w:space="0"/>
              <w:left w:val="double" w:color="auto" w:sz="4" w:space="0"/>
              <w:bottom w:val="single" w:color="auto" w:sz="4" w:space="0"/>
              <w:right w:val="double" w:color="auto" w:sz="4" w:space="0"/>
            </w:tcBorders>
          </w:tcPr>
          <w:p>
            <w:pPr>
              <w:spacing w:after="156"/>
              <w:jc w:val="center"/>
              <w:rPr>
                <w:rFonts w:ascii="Arial" w:hAnsi="Arial"/>
                <w:b/>
                <w:color w:val="000000"/>
                <w:sz w:val="28"/>
              </w:rPr>
            </w:pPr>
            <w:r>
              <w:rPr>
                <w:rFonts w:ascii="Arial" w:hAnsi="宋体"/>
                <w:b/>
                <w:color w:val="000000"/>
                <w:sz w:val="28"/>
              </w:rPr>
              <w:t>文</w:t>
            </w:r>
            <w:r>
              <w:rPr>
                <w:rFonts w:ascii="Arial" w:hAnsi="Arial"/>
                <w:b/>
                <w:color w:val="000000"/>
                <w:sz w:val="28"/>
              </w:rPr>
              <w:t xml:space="preserve"> </w:t>
            </w:r>
            <w:r>
              <w:rPr>
                <w:rFonts w:ascii="Arial" w:hAnsi="宋体"/>
                <w:b/>
                <w:color w:val="000000"/>
                <w:sz w:val="28"/>
              </w:rPr>
              <w:t>档</w:t>
            </w:r>
            <w:r>
              <w:rPr>
                <w:rFonts w:ascii="Arial" w:hAnsi="Arial"/>
                <w:b/>
                <w:color w:val="000000"/>
                <w:sz w:val="28"/>
              </w:rPr>
              <w:t xml:space="preserve"> </w:t>
            </w:r>
            <w:r>
              <w:rPr>
                <w:rFonts w:ascii="Arial" w:hAnsi="宋体"/>
                <w:b/>
                <w:color w:val="000000"/>
                <w:sz w:val="28"/>
              </w:rPr>
              <w:t>历</w:t>
            </w:r>
            <w:r>
              <w:rPr>
                <w:rFonts w:ascii="Arial" w:hAnsi="Arial"/>
                <w:b/>
                <w:color w:val="000000"/>
                <w:sz w:val="28"/>
              </w:rPr>
              <w:t xml:space="preserve"> </w:t>
            </w:r>
            <w:r>
              <w:rPr>
                <w:rFonts w:ascii="Arial" w:hAnsi="宋体"/>
                <w:b/>
                <w:color w:val="000000"/>
                <w:sz w:val="28"/>
              </w:rPr>
              <w:t>史</w:t>
            </w:r>
            <w:r>
              <w:rPr>
                <w:rFonts w:ascii="Arial" w:hAnsi="Arial"/>
                <w:b/>
                <w:color w:val="000000"/>
                <w:sz w:val="28"/>
              </w:rPr>
              <w:t xml:space="preserve"> </w:t>
            </w:r>
            <w:r>
              <w:rPr>
                <w:rFonts w:ascii="Arial" w:hAnsi="宋体"/>
                <w:b/>
                <w:color w:val="000000"/>
                <w:sz w:val="28"/>
              </w:rPr>
              <w:t>记</w:t>
            </w:r>
            <w:r>
              <w:rPr>
                <w:rFonts w:ascii="Arial" w:hAnsi="Arial"/>
                <w:b/>
                <w:color w:val="000000"/>
                <w:sz w:val="28"/>
              </w:rPr>
              <w:t xml:space="preserve"> </w:t>
            </w:r>
            <w:r>
              <w:rPr>
                <w:rFonts w:ascii="Arial" w:hAnsi="宋体"/>
                <w:b/>
                <w:color w:val="000000"/>
                <w:sz w:val="28"/>
              </w:rPr>
              <w:t>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59" w:hRule="atLeast"/>
        </w:trPr>
        <w:tc>
          <w:tcPr>
            <w:tcW w:w="9498" w:type="dxa"/>
            <w:gridSpan w:val="3"/>
            <w:tcBorders>
              <w:top w:val="single" w:color="auto" w:sz="12" w:space="0"/>
              <w:left w:val="double" w:color="auto" w:sz="4" w:space="0"/>
              <w:bottom w:val="single" w:color="auto" w:sz="4" w:space="0"/>
              <w:right w:val="double" w:color="auto" w:sz="4" w:space="0"/>
            </w:tcBorders>
          </w:tcPr>
          <w:p>
            <w:pPr>
              <w:spacing w:after="156" w:line="240" w:lineRule="auto"/>
              <w:ind w:right="-45"/>
              <w:rPr>
                <w:rFonts w:ascii="Arial" w:hAnsi="Arial"/>
                <w:color w:val="000000"/>
              </w:rPr>
            </w:pPr>
            <w:r>
              <w:rPr>
                <w:rFonts w:ascii="Arial" w:hAnsi="宋体"/>
                <w:color w:val="000000"/>
              </w:rPr>
              <w:t>版本号定义规则：</w:t>
            </w:r>
          </w:p>
          <w:p>
            <w:pPr>
              <w:numPr>
                <w:ilvl w:val="0"/>
                <w:numId w:val="7"/>
              </w:numPr>
              <w:spacing w:afterLines="0" w:line="240" w:lineRule="auto"/>
              <w:ind w:right="-45"/>
              <w:rPr>
                <w:rFonts w:ascii="Arial" w:hAnsi="Arial"/>
                <w:color w:val="000000"/>
              </w:rPr>
            </w:pPr>
            <w:r>
              <w:rPr>
                <w:rFonts w:ascii="Arial" w:hAnsi="宋体"/>
                <w:color w:val="000000"/>
              </w:rPr>
              <w:t>版本号由</w:t>
            </w:r>
            <w:r>
              <w:rPr>
                <w:rFonts w:hint="eastAsia" w:ascii="Arial" w:hAnsi="宋体"/>
                <w:color w:val="000000"/>
              </w:rPr>
              <w:t>项目部负责维护</w:t>
            </w:r>
          </w:p>
          <w:p>
            <w:pPr>
              <w:numPr>
                <w:ilvl w:val="0"/>
                <w:numId w:val="7"/>
              </w:numPr>
              <w:spacing w:afterLines="0" w:line="240" w:lineRule="auto"/>
              <w:ind w:right="-45"/>
              <w:rPr>
                <w:rFonts w:ascii="Arial" w:hAnsi="Arial"/>
                <w:color w:val="000000"/>
              </w:rPr>
            </w:pPr>
            <w:r>
              <w:rPr>
                <w:rFonts w:ascii="Arial" w:hAnsi="宋体"/>
                <w:color w:val="000000"/>
              </w:rPr>
              <w:t>使用阿拉伯数字，并由小数点分割成三部分。</w:t>
            </w:r>
          </w:p>
          <w:p>
            <w:pPr>
              <w:spacing w:after="156" w:line="240" w:lineRule="auto"/>
              <w:ind w:left="708" w:leftChars="295" w:right="-45" w:firstLine="1"/>
              <w:rPr>
                <w:rFonts w:ascii="Arial" w:hAnsi="Arial"/>
                <w:color w:val="000000"/>
              </w:rPr>
            </w:pPr>
            <w:r>
              <w:rPr>
                <w:rFonts w:ascii="Arial" w:hAnsi="Arial"/>
                <w:color w:val="000000"/>
              </w:rPr>
              <w:tab/>
            </w:r>
            <w:r>
              <w:rPr>
                <w:rFonts w:ascii="Arial" w:hAnsi="宋体"/>
                <w:color w:val="000000"/>
              </w:rPr>
              <w:t>第一部分（一位有效数字）：</w:t>
            </w:r>
            <w:r>
              <w:rPr>
                <w:rFonts w:hint="eastAsia" w:ascii="Arial" w:hAnsi="宋体"/>
                <w:color w:val="000000"/>
              </w:rPr>
              <w:t>项目</w:t>
            </w:r>
            <w:r>
              <w:rPr>
                <w:rFonts w:ascii="Arial" w:hAnsi="宋体"/>
                <w:color w:val="000000"/>
              </w:rPr>
              <w:t>整体升级或改造时使用。</w:t>
            </w:r>
          </w:p>
          <w:p>
            <w:pPr>
              <w:spacing w:after="156" w:line="240" w:lineRule="auto"/>
              <w:ind w:left="708" w:leftChars="295" w:right="-45" w:firstLine="1"/>
              <w:rPr>
                <w:rFonts w:ascii="Arial" w:hAnsi="Arial"/>
                <w:color w:val="000000"/>
              </w:rPr>
            </w:pPr>
            <w:r>
              <w:rPr>
                <w:rFonts w:ascii="Arial" w:hAnsi="Arial"/>
                <w:color w:val="000000"/>
              </w:rPr>
              <w:tab/>
            </w:r>
            <w:r>
              <w:rPr>
                <w:rFonts w:ascii="Arial" w:hAnsi="宋体"/>
                <w:color w:val="000000"/>
              </w:rPr>
              <w:t>第二部分（一位有效数字）：本文档重大修改时使用。通常需要修改当前生产使用的应用程序。</w:t>
            </w:r>
          </w:p>
          <w:p>
            <w:pPr>
              <w:spacing w:after="156" w:line="240" w:lineRule="auto"/>
              <w:ind w:left="708" w:leftChars="295" w:right="-45" w:firstLine="1"/>
              <w:rPr>
                <w:rFonts w:ascii="Arial" w:hAnsi="Arial"/>
                <w:color w:val="000000"/>
              </w:rPr>
            </w:pPr>
            <w:r>
              <w:rPr>
                <w:rFonts w:ascii="Arial" w:hAnsi="Arial"/>
                <w:color w:val="000000"/>
              </w:rPr>
              <w:tab/>
            </w:r>
            <w:r>
              <w:rPr>
                <w:rFonts w:ascii="Arial" w:hAnsi="宋体"/>
                <w:color w:val="000000"/>
              </w:rPr>
              <w:t>第三部分（位数不限）：本文档简单修改时使用。通常是增加说明、更加详细的描述，不影响当前生产使用的应用程序。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560" w:type="dxa"/>
            <w:tcBorders>
              <w:top w:val="single" w:color="auto" w:sz="4" w:space="0"/>
              <w:left w:val="double" w:color="auto" w:sz="4" w:space="0"/>
            </w:tcBorders>
          </w:tcPr>
          <w:p>
            <w:pPr>
              <w:spacing w:after="156"/>
              <w:rPr>
                <w:rFonts w:ascii="Arial" w:hAnsi="Arial"/>
                <w:color w:val="000000"/>
              </w:rPr>
            </w:pPr>
            <w:r>
              <w:rPr>
                <w:rFonts w:ascii="Arial" w:hAnsi="宋体"/>
                <w:color w:val="000000"/>
              </w:rPr>
              <w:t>日</w:t>
            </w:r>
            <w:r>
              <w:rPr>
                <w:rFonts w:ascii="Arial" w:hAnsi="Arial"/>
                <w:color w:val="000000"/>
              </w:rPr>
              <w:t xml:space="preserve"> </w:t>
            </w:r>
            <w:r>
              <w:rPr>
                <w:rFonts w:ascii="Arial" w:hAnsi="宋体"/>
                <w:color w:val="000000"/>
              </w:rPr>
              <w:t>期</w:t>
            </w:r>
          </w:p>
        </w:tc>
        <w:tc>
          <w:tcPr>
            <w:tcW w:w="1418" w:type="dxa"/>
            <w:tcBorders>
              <w:top w:val="single" w:color="auto" w:sz="4" w:space="0"/>
            </w:tcBorders>
          </w:tcPr>
          <w:p>
            <w:pPr>
              <w:spacing w:after="156"/>
              <w:rPr>
                <w:rFonts w:ascii="Arial" w:hAnsi="Arial"/>
                <w:color w:val="000000"/>
              </w:rPr>
            </w:pPr>
            <w:r>
              <w:rPr>
                <w:rFonts w:ascii="Arial" w:hAnsi="宋体"/>
                <w:color w:val="000000"/>
              </w:rPr>
              <w:t>姓</w:t>
            </w:r>
            <w:r>
              <w:rPr>
                <w:rFonts w:ascii="Arial" w:hAnsi="Arial"/>
                <w:color w:val="000000"/>
              </w:rPr>
              <w:t xml:space="preserve"> </w:t>
            </w:r>
            <w:r>
              <w:rPr>
                <w:rFonts w:ascii="Arial" w:hAnsi="宋体"/>
                <w:color w:val="000000"/>
              </w:rPr>
              <w:t>名</w:t>
            </w:r>
          </w:p>
        </w:tc>
        <w:tc>
          <w:tcPr>
            <w:tcW w:w="6520" w:type="dxa"/>
            <w:tcBorders>
              <w:top w:val="single" w:color="auto" w:sz="4" w:space="0"/>
              <w:right w:val="double" w:color="auto" w:sz="4" w:space="0"/>
            </w:tcBorders>
          </w:tcPr>
          <w:p>
            <w:pPr>
              <w:spacing w:after="156"/>
              <w:rPr>
                <w:rFonts w:ascii="Arial" w:hAnsi="Arial"/>
                <w:color w:val="000000"/>
              </w:rPr>
            </w:pPr>
            <w:r>
              <w:rPr>
                <w:rFonts w:ascii="Arial" w:hAnsi="宋体"/>
                <w:color w:val="000000"/>
              </w:rPr>
              <w:t>版</w:t>
            </w:r>
            <w:r>
              <w:rPr>
                <w:rFonts w:ascii="Arial" w:hAnsi="Arial"/>
                <w:color w:val="000000"/>
              </w:rPr>
              <w:t xml:space="preserve"> </w:t>
            </w:r>
            <w:r>
              <w:rPr>
                <w:rFonts w:ascii="Arial" w:hAnsi="宋体"/>
                <w:color w:val="000000"/>
              </w:rPr>
              <w:t>本</w:t>
            </w:r>
            <w:r>
              <w:rPr>
                <w:rFonts w:ascii="Arial" w:hAnsi="Arial"/>
                <w:color w:val="000000"/>
              </w:rPr>
              <w:t xml:space="preserve"> </w:t>
            </w:r>
            <w:r>
              <w:rPr>
                <w:rFonts w:ascii="Arial" w:hAnsi="宋体"/>
                <w:color w:val="000000"/>
              </w:rPr>
              <w:t>更</w:t>
            </w:r>
            <w:r>
              <w:rPr>
                <w:rFonts w:ascii="Arial" w:hAnsi="Arial"/>
                <w:color w:val="000000"/>
              </w:rPr>
              <w:t xml:space="preserve"> </w:t>
            </w:r>
            <w:r>
              <w:rPr>
                <w:rFonts w:ascii="Arial" w:hAnsi="宋体"/>
                <w:color w:val="000000"/>
              </w:rPr>
              <w:t>新</w:t>
            </w:r>
            <w:r>
              <w:rPr>
                <w:rFonts w:ascii="Arial" w:hAnsi="Arial"/>
                <w:color w:val="000000"/>
              </w:rPr>
              <w:t xml:space="preserve"> </w:t>
            </w:r>
            <w:r>
              <w:rPr>
                <w:rFonts w:ascii="Arial" w:hAnsi="宋体"/>
                <w:color w:val="000000"/>
              </w:rPr>
              <w:t>记</w:t>
            </w:r>
            <w:r>
              <w:rPr>
                <w:rFonts w:ascii="Arial" w:hAnsi="Arial"/>
                <w:color w:val="000000"/>
              </w:rPr>
              <w:t xml:space="preserve"> </w:t>
            </w:r>
            <w:r>
              <w:rPr>
                <w:rFonts w:ascii="Arial" w:hAnsi="宋体"/>
                <w:color w:val="000000"/>
              </w:rPr>
              <w:t>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1560" w:type="dxa"/>
            <w:tcBorders>
              <w:left w:val="double" w:color="auto" w:sz="4" w:space="0"/>
            </w:tcBorders>
          </w:tcPr>
          <w:p>
            <w:pPr>
              <w:pStyle w:val="29"/>
              <w:spacing w:after="156"/>
              <w:jc w:val="both"/>
              <w:rPr>
                <w:rFonts w:ascii="Arial" w:hAnsi="Arial"/>
                <w:b w:val="0"/>
                <w:color w:val="000000"/>
                <w:sz w:val="21"/>
              </w:rPr>
            </w:pPr>
            <w:r>
              <w:rPr>
                <w:rFonts w:hint="eastAsia" w:ascii="Arial" w:hAnsi="Arial"/>
                <w:b w:val="0"/>
                <w:color w:val="000000"/>
                <w:sz w:val="21"/>
              </w:rPr>
              <w:t>2018-01-16</w:t>
            </w:r>
          </w:p>
        </w:tc>
        <w:tc>
          <w:tcPr>
            <w:tcW w:w="1418" w:type="dxa"/>
          </w:tcPr>
          <w:p>
            <w:pPr>
              <w:pStyle w:val="29"/>
              <w:spacing w:after="156"/>
              <w:jc w:val="both"/>
              <w:rPr>
                <w:rFonts w:ascii="Arial" w:hAnsi="Arial"/>
                <w:b w:val="0"/>
                <w:color w:val="000000"/>
                <w:sz w:val="21"/>
              </w:rPr>
            </w:pPr>
            <w:r>
              <w:rPr>
                <w:rFonts w:hint="eastAsia" w:ascii="Arial" w:hAnsi="Arial"/>
                <w:b w:val="0"/>
                <w:color w:val="000000"/>
                <w:sz w:val="21"/>
              </w:rPr>
              <w:t>严军</w:t>
            </w:r>
          </w:p>
        </w:tc>
        <w:tc>
          <w:tcPr>
            <w:tcW w:w="6520" w:type="dxa"/>
            <w:tcBorders>
              <w:right w:val="double" w:color="auto" w:sz="4" w:space="0"/>
            </w:tcBorders>
          </w:tcPr>
          <w:p>
            <w:pPr>
              <w:pStyle w:val="29"/>
              <w:spacing w:after="156"/>
              <w:jc w:val="both"/>
              <w:rPr>
                <w:rFonts w:ascii="Arial" w:hAnsi="Arial"/>
                <w:b w:val="0"/>
                <w:color w:val="000000"/>
                <w:sz w:val="21"/>
              </w:rPr>
            </w:pPr>
            <w:r>
              <w:rPr>
                <w:rFonts w:hint="eastAsia" w:ascii="Arial" w:hAnsi="Arial"/>
                <w:b w:val="0"/>
                <w:color w:val="000000"/>
                <w:sz w:val="21"/>
              </w:rPr>
              <w:t xml:space="preserve">V1.0, </w:t>
            </w:r>
          </w:p>
        </w:tc>
      </w:tr>
    </w:tbl>
    <w:p>
      <w:pPr>
        <w:spacing w:after="156"/>
        <w:rPr>
          <w:b/>
          <w:bCs/>
        </w:rPr>
      </w:pPr>
      <w:r>
        <w:rPr>
          <w:rFonts w:hint="eastAsia"/>
          <w:b/>
          <w:bCs/>
        </w:rPr>
        <w:t>广东铭鸿数据有限公司：</w:t>
      </w:r>
    </w:p>
    <w:p>
      <w:pPr>
        <w:spacing w:after="156" w:line="240" w:lineRule="auto"/>
      </w:pPr>
      <w:r>
        <w:rPr>
          <w:rFonts w:hint="eastAsia"/>
        </w:rPr>
        <w:t>一、“双离线”描述不正确，二维码进、出闸查重、BOM处理重复刷码异常属联机交易，在后端的多元支付平台故障或断网情况下是不能进行查重的。是否须对该方式进行优化或将查重机制放在车站，在可能故障条件下，减少二维码进闸查重的影响范围。业主应充分评估在大客流情况下该方式的运营影响的可接受度。</w:t>
      </w:r>
    </w:p>
    <w:p>
      <w:pPr>
        <w:spacing w:after="156" w:line="240" w:lineRule="auto"/>
        <w:rPr>
          <w:color w:val="00B0F0"/>
        </w:rPr>
      </w:pPr>
      <w:r>
        <w:rPr>
          <w:rFonts w:hint="eastAsia"/>
          <w:color w:val="00B0F0"/>
        </w:rPr>
        <w:t>小码回复：双离线，指用户手机断网时可生码，闸机与AFC网络断开时，仍可进行二维码合法性验证和开闸。本方案尽可能考虑用户使用的便利性，在用户使用乘车码时，不要求用户选择他要使用乘车码的起止站点，因此需要将防复制功能放在中央级服务器，由多元化支付平台来实现线网级防复制功能。</w:t>
      </w:r>
    </w:p>
    <w:p>
      <w:pPr>
        <w:spacing w:after="156" w:line="240" w:lineRule="auto"/>
      </w:pPr>
      <w:r>
        <w:rPr>
          <w:rFonts w:hint="eastAsia"/>
        </w:rPr>
        <w:t>二、ACC对二维码进、出闸不采用新增交易类型方式，将采用兼容设计，如二维码进、出闸有特定的业务字段需求，在原进、出闸交易业务字段中增加。</w:t>
      </w:r>
    </w:p>
    <w:p>
      <w:pPr>
        <w:spacing w:after="156" w:line="240" w:lineRule="auto"/>
        <w:rPr>
          <w:color w:val="00B0F0"/>
        </w:rPr>
      </w:pPr>
      <w:r>
        <w:rPr>
          <w:rFonts w:hint="eastAsia"/>
          <w:color w:val="00B0F0"/>
        </w:rPr>
        <w:t>小码回复：建议新增交易类型方式，如采用兼容设计，需对原有数据设计进行评估，是否能覆盖二维码交易场景，在客流统计、收益清分等方面，能否与原有交易区分开</w:t>
      </w:r>
    </w:p>
    <w:p>
      <w:pPr>
        <w:spacing w:after="156" w:line="240" w:lineRule="auto"/>
      </w:pPr>
      <w:r>
        <w:rPr>
          <w:rFonts w:hint="eastAsia"/>
        </w:rPr>
        <w:t>三、二维码多元支付平台与ACC定位不应错位，二维码多元支付平台应定位为类似“一卡通”角色，轨道交通支持二维码进出闸，对账交易数据由ACC送出，二维码的消费金额由ACC计算，这点不应反过来。5.1数据交换内容及流程应修改并提供双方交互的具体的交易数据类型。</w:t>
      </w:r>
    </w:p>
    <w:p>
      <w:pPr>
        <w:spacing w:after="156" w:line="240" w:lineRule="auto"/>
        <w:rPr>
          <w:rFonts w:ascii="宋体" w:hAnsi="宋体"/>
          <w:color w:val="00B0F0"/>
        </w:rPr>
      </w:pPr>
      <w:r>
        <w:rPr>
          <w:rFonts w:hint="eastAsia" w:ascii="宋体" w:hAnsi="宋体"/>
          <w:color w:val="00B0F0"/>
        </w:rPr>
        <w:t>小码回复：二维码电子票务不能完全等同于“一卡通”，作为一个新的过闸方式，与传统票卡有一个显著的区别，用户的进出站数据是分开上传的，需要后台根据用户账号信息，将进出站数据进行融对，计算票价并对用户进行扣款。此功能对交易处理的实时性要求比较高，ACC是否具备这样的能力，并且根据这个需求来进行修改。同时可能产生用户交易数据的调整，以及客诉方面的处理，ACC能否开放数据给外部用户查询使用？</w:t>
      </w:r>
    </w:p>
    <w:p>
      <w:pPr>
        <w:spacing w:after="156"/>
        <w:rPr>
          <w:color w:val="FF0000"/>
        </w:rPr>
      </w:pPr>
      <w:r>
        <w:rPr>
          <w:rFonts w:hint="eastAsia"/>
          <w:color w:val="FF0000"/>
        </w:rPr>
        <w:t>*问题答复标注为红色</w:t>
      </w:r>
    </w:p>
    <w:p>
      <w:pPr>
        <w:spacing w:after="156"/>
        <w:rPr>
          <w:b/>
          <w:bCs/>
        </w:rPr>
      </w:pPr>
      <w:r>
        <w:rPr>
          <w:rFonts w:hint="eastAsia"/>
          <w:b/>
          <w:bCs/>
        </w:rPr>
        <w:t>北京全路通信信号研究设计院集团有限公司：</w:t>
      </w:r>
    </w:p>
    <w:p>
      <w:pPr>
        <w:spacing w:after="156"/>
        <w:rPr>
          <w:b/>
          <w:bCs/>
        </w:rPr>
      </w:pPr>
      <w:r>
        <w:rPr>
          <w:rFonts w:hint="eastAsia"/>
        </w:rPr>
        <w:t>为主要集中在图的结构及多元支付平台的理解上，增加了第三项做了解释。</w:t>
      </w:r>
    </w:p>
    <w:p>
      <w:pPr>
        <w:spacing w:after="156"/>
        <w:rPr>
          <w:color w:val="E46C0A" w:themeColor="accent6" w:themeShade="BF"/>
        </w:rPr>
      </w:pPr>
      <w:r>
        <w:rPr>
          <w:rFonts w:hint="eastAsia"/>
          <w:color w:val="E46C0A" w:themeColor="accent6" w:themeShade="BF"/>
        </w:rPr>
        <w:t>*问题答复标注为棕色</w:t>
      </w:r>
    </w:p>
    <w:p>
      <w:pPr>
        <w:spacing w:after="156"/>
      </w:pPr>
      <w:r>
        <w:rPr>
          <w:rFonts w:hint="eastAsia"/>
          <w:b/>
          <w:bCs/>
        </w:rPr>
        <w:t>乌鲁木齐城市轨道集团有限公司：</w:t>
      </w:r>
      <w:r>
        <w:rPr>
          <w:rFonts w:hint="eastAsia"/>
        </w:rPr>
        <w:t>提出BOM设备的技术描述</w:t>
      </w:r>
    </w:p>
    <w:p>
      <w:pPr>
        <w:spacing w:after="156"/>
        <w:rPr>
          <w:color w:val="E46C0A" w:themeColor="accent6" w:themeShade="BF"/>
        </w:rPr>
      </w:pPr>
      <w:r>
        <w:rPr>
          <w:rFonts w:hint="eastAsia"/>
          <w:color w:val="0000FF"/>
        </w:rPr>
        <w:t>*问题答复标注为蓝色</w:t>
      </w:r>
    </w:p>
    <w:p>
      <w:pPr>
        <w:pStyle w:val="41"/>
        <w:jc w:val="center"/>
        <w:rPr>
          <w:b/>
          <w:bCs/>
          <w:sz w:val="30"/>
          <w:szCs w:val="30"/>
        </w:rPr>
      </w:pPr>
      <w:r>
        <w:rPr>
          <w:rFonts w:hint="eastAsia"/>
          <w:b/>
          <w:bCs/>
          <w:sz w:val="30"/>
          <w:szCs w:val="30"/>
        </w:rPr>
        <w:t>目 录</w:t>
      </w:r>
    </w:p>
    <w:p>
      <w:pPr>
        <w:pStyle w:val="41"/>
        <w:jc w:val="center"/>
        <w:rPr>
          <w:b/>
          <w:bCs/>
          <w:sz w:val="30"/>
          <w:szCs w:val="30"/>
        </w:rPr>
      </w:pPr>
    </w:p>
    <w:p>
      <w:pPr>
        <w:pStyle w:val="41"/>
        <w:jc w:val="center"/>
        <w:rPr>
          <w:b/>
          <w:bCs/>
          <w:sz w:val="30"/>
          <w:szCs w:val="30"/>
        </w:rPr>
      </w:pPr>
    </w:p>
    <w:p>
      <w:pPr>
        <w:pStyle w:val="26"/>
        <w:tabs>
          <w:tab w:val="right" w:pos="8312"/>
          <w:tab w:val="clear" w:pos="377"/>
          <w:tab w:val="clear" w:pos="8296"/>
        </w:tabs>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_Toc32498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1 </w:t>
      </w:r>
      <w:r>
        <w:rPr>
          <w:rFonts w:hint="eastAsia"/>
        </w:rPr>
        <w:t>概述</w:t>
      </w:r>
      <w:r>
        <w:tab/>
      </w:r>
      <w:r>
        <w:fldChar w:fldCharType="begin"/>
      </w:r>
      <w:r>
        <w:instrText xml:space="preserve"> PAGEREF _Toc32498 </w:instrText>
      </w:r>
      <w:r>
        <w:fldChar w:fldCharType="separate"/>
      </w:r>
      <w:r>
        <w:t>5</w:t>
      </w:r>
      <w:r>
        <w:fldChar w:fldCharType="end"/>
      </w:r>
      <w:r>
        <w:fldChar w:fldCharType="end"/>
      </w:r>
    </w:p>
    <w:p>
      <w:pPr>
        <w:pStyle w:val="29"/>
        <w:tabs>
          <w:tab w:val="right" w:pos="8312"/>
        </w:tabs>
      </w:pPr>
      <w:r>
        <w:fldChar w:fldCharType="begin"/>
      </w:r>
      <w:r>
        <w:instrText xml:space="preserve"> HYPERLINK \l _Toc1174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1.1 </w:t>
      </w:r>
      <w:r>
        <w:rPr>
          <w:rFonts w:hint="eastAsia"/>
        </w:rPr>
        <w:t>背景</w:t>
      </w:r>
      <w:r>
        <w:tab/>
      </w:r>
      <w:r>
        <w:fldChar w:fldCharType="begin"/>
      </w:r>
      <w:r>
        <w:instrText xml:space="preserve"> PAGEREF _Toc1174 </w:instrText>
      </w:r>
      <w:r>
        <w:fldChar w:fldCharType="separate"/>
      </w:r>
      <w:r>
        <w:t>5</w:t>
      </w:r>
      <w:r>
        <w:fldChar w:fldCharType="end"/>
      </w:r>
      <w:r>
        <w:fldChar w:fldCharType="end"/>
      </w:r>
    </w:p>
    <w:p>
      <w:pPr>
        <w:pStyle w:val="29"/>
        <w:tabs>
          <w:tab w:val="right" w:pos="8312"/>
        </w:tabs>
      </w:pPr>
      <w:r>
        <w:fldChar w:fldCharType="begin"/>
      </w:r>
      <w:r>
        <w:instrText xml:space="preserve"> HYPERLINK \l _Toc26895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1.2 </w:t>
      </w:r>
      <w:r>
        <w:rPr>
          <w:rFonts w:hint="eastAsia"/>
        </w:rPr>
        <w:t>国内地铁手机二维码过闸应用现状</w:t>
      </w:r>
      <w:r>
        <w:tab/>
      </w:r>
      <w:r>
        <w:fldChar w:fldCharType="begin"/>
      </w:r>
      <w:r>
        <w:instrText xml:space="preserve"> PAGEREF _Toc26895 </w:instrText>
      </w:r>
      <w:r>
        <w:fldChar w:fldCharType="separate"/>
      </w:r>
      <w:r>
        <w:t>5</w:t>
      </w:r>
      <w:r>
        <w:fldChar w:fldCharType="end"/>
      </w:r>
      <w:r>
        <w:fldChar w:fldCharType="end"/>
      </w:r>
    </w:p>
    <w:p>
      <w:pPr>
        <w:pStyle w:val="29"/>
        <w:tabs>
          <w:tab w:val="right" w:pos="8312"/>
        </w:tabs>
      </w:pPr>
      <w:r>
        <w:fldChar w:fldCharType="begin"/>
      </w:r>
      <w:r>
        <w:instrText xml:space="preserve"> HYPERLINK \l _Toc5475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1.3 </w:t>
      </w:r>
      <w:r>
        <w:rPr>
          <w:rFonts w:hint="eastAsia"/>
        </w:rPr>
        <w:t>通用标准术语</w:t>
      </w:r>
      <w:r>
        <w:tab/>
      </w:r>
      <w:r>
        <w:fldChar w:fldCharType="begin"/>
      </w:r>
      <w:r>
        <w:instrText xml:space="preserve"> PAGEREF _Toc5475 </w:instrText>
      </w:r>
      <w:r>
        <w:fldChar w:fldCharType="separate"/>
      </w:r>
      <w:r>
        <w:t>6</w:t>
      </w:r>
      <w:r>
        <w:fldChar w:fldCharType="end"/>
      </w:r>
      <w:r>
        <w:fldChar w:fldCharType="end"/>
      </w:r>
    </w:p>
    <w:p>
      <w:pPr>
        <w:pStyle w:val="29"/>
        <w:tabs>
          <w:tab w:val="right" w:pos="8312"/>
        </w:tabs>
      </w:pPr>
      <w:r>
        <w:fldChar w:fldCharType="begin"/>
      </w:r>
      <w:r>
        <w:instrText xml:space="preserve"> HYPERLINK \l _Toc5467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1.4 </w:t>
      </w:r>
      <w:r>
        <w:rPr>
          <w:rFonts w:hint="eastAsia"/>
        </w:rPr>
        <w:t>主要技术规范及标</w:t>
      </w:r>
      <w:bookmarkStart w:id="77" w:name="_GoBack"/>
      <w:bookmarkEnd w:id="77"/>
      <w:r>
        <w:rPr>
          <w:rFonts w:hint="eastAsia"/>
        </w:rPr>
        <w:t>准</w:t>
      </w:r>
      <w:r>
        <w:tab/>
      </w:r>
      <w:r>
        <w:fldChar w:fldCharType="begin"/>
      </w:r>
      <w:r>
        <w:instrText xml:space="preserve"> PAGEREF _Toc5467 </w:instrText>
      </w:r>
      <w:r>
        <w:fldChar w:fldCharType="separate"/>
      </w:r>
      <w:r>
        <w:t>7</w:t>
      </w:r>
      <w:r>
        <w:fldChar w:fldCharType="end"/>
      </w:r>
      <w:r>
        <w:fldChar w:fldCharType="end"/>
      </w:r>
    </w:p>
    <w:p>
      <w:pPr>
        <w:pStyle w:val="26"/>
        <w:tabs>
          <w:tab w:val="right" w:pos="8312"/>
          <w:tab w:val="clear" w:pos="377"/>
          <w:tab w:val="clear" w:pos="8296"/>
        </w:tabs>
      </w:pPr>
      <w:r>
        <w:fldChar w:fldCharType="begin"/>
      </w:r>
      <w:r>
        <w:instrText xml:space="preserve"> HYPERLINK \l _Toc4106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2 </w:t>
      </w:r>
      <w:r>
        <w:rPr>
          <w:rFonts w:hint="eastAsia"/>
        </w:rPr>
        <w:t>项目范围</w:t>
      </w:r>
      <w:r>
        <w:tab/>
      </w:r>
      <w:r>
        <w:fldChar w:fldCharType="begin"/>
      </w:r>
      <w:r>
        <w:instrText xml:space="preserve"> PAGEREF _Toc4106 </w:instrText>
      </w:r>
      <w:r>
        <w:fldChar w:fldCharType="separate"/>
      </w:r>
      <w:r>
        <w:t>7</w:t>
      </w:r>
      <w:r>
        <w:fldChar w:fldCharType="end"/>
      </w:r>
      <w:r>
        <w:fldChar w:fldCharType="end"/>
      </w:r>
    </w:p>
    <w:p>
      <w:pPr>
        <w:pStyle w:val="26"/>
        <w:tabs>
          <w:tab w:val="right" w:pos="8312"/>
          <w:tab w:val="clear" w:pos="377"/>
          <w:tab w:val="clear" w:pos="8296"/>
        </w:tabs>
      </w:pPr>
      <w:r>
        <w:fldChar w:fldCharType="begin"/>
      </w:r>
      <w:r>
        <w:instrText xml:space="preserve"> HYPERLINK \l _Toc21485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3 </w:t>
      </w:r>
      <w:r>
        <w:rPr>
          <w:rFonts w:hint="eastAsia"/>
        </w:rPr>
        <w:t>总体设计</w:t>
      </w:r>
      <w:r>
        <w:tab/>
      </w:r>
      <w:r>
        <w:fldChar w:fldCharType="begin"/>
      </w:r>
      <w:r>
        <w:instrText xml:space="preserve"> PAGEREF _Toc21485 </w:instrText>
      </w:r>
      <w:r>
        <w:fldChar w:fldCharType="separate"/>
      </w:r>
      <w:r>
        <w:t>8</w:t>
      </w:r>
      <w:r>
        <w:fldChar w:fldCharType="end"/>
      </w:r>
      <w:r>
        <w:fldChar w:fldCharType="end"/>
      </w:r>
    </w:p>
    <w:p>
      <w:pPr>
        <w:pStyle w:val="29"/>
        <w:tabs>
          <w:tab w:val="right" w:pos="8312"/>
        </w:tabs>
      </w:pPr>
      <w:r>
        <w:fldChar w:fldCharType="begin"/>
      </w:r>
      <w:r>
        <w:instrText xml:space="preserve"> HYPERLINK \l _Toc16737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3.1 </w:t>
      </w:r>
      <w:r>
        <w:rPr>
          <w:rFonts w:hint="eastAsia"/>
          <w:color w:val="0000BF" w:themeColor="hyperlink" w:themeShade="BF"/>
        </w:rPr>
        <w:t>AFC技术架构</w:t>
      </w:r>
      <w:r>
        <w:tab/>
      </w:r>
      <w:r>
        <w:fldChar w:fldCharType="begin"/>
      </w:r>
      <w:r>
        <w:instrText xml:space="preserve"> PAGEREF _Toc16737 </w:instrText>
      </w:r>
      <w:r>
        <w:fldChar w:fldCharType="separate"/>
      </w:r>
      <w:r>
        <w:t>8</w:t>
      </w:r>
      <w:r>
        <w:fldChar w:fldCharType="end"/>
      </w:r>
      <w:r>
        <w:fldChar w:fldCharType="end"/>
      </w:r>
    </w:p>
    <w:p>
      <w:pPr>
        <w:pStyle w:val="29"/>
        <w:tabs>
          <w:tab w:val="right" w:pos="8312"/>
        </w:tabs>
      </w:pPr>
      <w:r>
        <w:fldChar w:fldCharType="begin"/>
      </w:r>
      <w:r>
        <w:instrText xml:space="preserve"> HYPERLINK \l _Toc3803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3.2 </w:t>
      </w:r>
      <w:r>
        <w:rPr>
          <w:rFonts w:hint="eastAsia"/>
          <w:color w:val="0000BF" w:themeColor="hyperlink" w:themeShade="BF"/>
        </w:rPr>
        <w:t>多元化支付平台架构</w:t>
      </w:r>
      <w:r>
        <w:tab/>
      </w:r>
      <w:r>
        <w:fldChar w:fldCharType="begin"/>
      </w:r>
      <w:r>
        <w:instrText xml:space="preserve"> PAGEREF _Toc3803 </w:instrText>
      </w:r>
      <w:r>
        <w:fldChar w:fldCharType="separate"/>
      </w:r>
      <w:r>
        <w:t>9</w:t>
      </w:r>
      <w:r>
        <w:fldChar w:fldCharType="end"/>
      </w:r>
      <w:r>
        <w:fldChar w:fldCharType="end"/>
      </w:r>
    </w:p>
    <w:p>
      <w:pPr>
        <w:pStyle w:val="20"/>
        <w:tabs>
          <w:tab w:val="right" w:pos="8312"/>
        </w:tabs>
      </w:pPr>
      <w:r>
        <w:fldChar w:fldCharType="begin"/>
      </w:r>
      <w:r>
        <w:instrText xml:space="preserve"> HYPERLINK \l _Toc24927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3.2.1 </w:t>
      </w:r>
      <w:r>
        <w:rPr>
          <w:rFonts w:hint="eastAsia"/>
        </w:rPr>
        <w:t>系统架构</w:t>
      </w:r>
      <w:r>
        <w:tab/>
      </w:r>
      <w:r>
        <w:fldChar w:fldCharType="begin"/>
      </w:r>
      <w:r>
        <w:instrText xml:space="preserve"> PAGEREF _Toc24927 </w:instrText>
      </w:r>
      <w:r>
        <w:fldChar w:fldCharType="separate"/>
      </w:r>
      <w:r>
        <w:t>9</w:t>
      </w:r>
      <w:r>
        <w:fldChar w:fldCharType="end"/>
      </w:r>
      <w:r>
        <w:fldChar w:fldCharType="end"/>
      </w:r>
    </w:p>
    <w:p>
      <w:pPr>
        <w:pStyle w:val="20"/>
        <w:tabs>
          <w:tab w:val="right" w:pos="8312"/>
        </w:tabs>
      </w:pPr>
      <w:r>
        <w:fldChar w:fldCharType="begin"/>
      </w:r>
      <w:r>
        <w:instrText xml:space="preserve"> HYPERLINK \l _Toc939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3.2.2 </w:t>
      </w:r>
      <w:r>
        <w:rPr>
          <w:rFonts w:hint="eastAsia"/>
        </w:rPr>
        <w:t>网络拓扑</w:t>
      </w:r>
      <w:r>
        <w:tab/>
      </w:r>
      <w:r>
        <w:fldChar w:fldCharType="begin"/>
      </w:r>
      <w:r>
        <w:instrText xml:space="preserve"> PAGEREF _Toc939 </w:instrText>
      </w:r>
      <w:r>
        <w:fldChar w:fldCharType="separate"/>
      </w:r>
      <w:r>
        <w:t>10</w:t>
      </w:r>
      <w:r>
        <w:fldChar w:fldCharType="end"/>
      </w:r>
      <w:r>
        <w:fldChar w:fldCharType="end"/>
      </w:r>
    </w:p>
    <w:p>
      <w:pPr>
        <w:pStyle w:val="20"/>
        <w:tabs>
          <w:tab w:val="right" w:pos="8312"/>
        </w:tabs>
      </w:pPr>
      <w:r>
        <w:fldChar w:fldCharType="begin"/>
      </w:r>
      <w:r>
        <w:instrText xml:space="preserve"> HYPERLINK \l _Toc12081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3.2.3 </w:t>
      </w:r>
      <w:r>
        <w:rPr>
          <w:rFonts w:hint="eastAsia"/>
        </w:rPr>
        <w:t>多元化支付平台</w:t>
      </w:r>
      <w:r>
        <w:tab/>
      </w:r>
      <w:r>
        <w:fldChar w:fldCharType="begin"/>
      </w:r>
      <w:r>
        <w:instrText xml:space="preserve"> PAGEREF _Toc12081 </w:instrText>
      </w:r>
      <w:r>
        <w:fldChar w:fldCharType="separate"/>
      </w:r>
      <w:r>
        <w:t>11</w:t>
      </w:r>
      <w:r>
        <w:fldChar w:fldCharType="end"/>
      </w:r>
      <w:r>
        <w:fldChar w:fldCharType="end"/>
      </w:r>
    </w:p>
    <w:p>
      <w:pPr>
        <w:pStyle w:val="29"/>
        <w:tabs>
          <w:tab w:val="right" w:pos="8312"/>
        </w:tabs>
      </w:pPr>
      <w:r>
        <w:fldChar w:fldCharType="begin"/>
      </w:r>
      <w:r>
        <w:instrText xml:space="preserve"> HYPERLINK \l _Toc5520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3.3 </w:t>
      </w:r>
      <w:r>
        <w:rPr>
          <w:rFonts w:hint="eastAsia"/>
          <w:color w:val="0000BF" w:themeColor="hyperlink" w:themeShade="BF"/>
        </w:rPr>
        <w:t>业务流程架构</w:t>
      </w:r>
      <w:r>
        <w:tab/>
      </w:r>
      <w:r>
        <w:fldChar w:fldCharType="begin"/>
      </w:r>
      <w:r>
        <w:instrText xml:space="preserve"> PAGEREF _Toc5520 </w:instrText>
      </w:r>
      <w:r>
        <w:fldChar w:fldCharType="separate"/>
      </w:r>
      <w:r>
        <w:t>14</w:t>
      </w:r>
      <w:r>
        <w:fldChar w:fldCharType="end"/>
      </w:r>
      <w:r>
        <w:fldChar w:fldCharType="end"/>
      </w:r>
    </w:p>
    <w:p>
      <w:pPr>
        <w:pStyle w:val="26"/>
        <w:tabs>
          <w:tab w:val="right" w:pos="8312"/>
          <w:tab w:val="clear" w:pos="377"/>
          <w:tab w:val="clear" w:pos="8296"/>
        </w:tabs>
      </w:pPr>
      <w:r>
        <w:fldChar w:fldCharType="begin"/>
      </w:r>
      <w:r>
        <w:instrText xml:space="preserve"> HYPERLINK \l _Toc1807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4 </w:t>
      </w:r>
      <w:r>
        <w:rPr>
          <w:rFonts w:hint="eastAsia"/>
        </w:rPr>
        <w:t>改造和建设内容</w:t>
      </w:r>
      <w:r>
        <w:tab/>
      </w:r>
      <w:r>
        <w:fldChar w:fldCharType="begin"/>
      </w:r>
      <w:r>
        <w:instrText xml:space="preserve"> PAGEREF _Toc1807 </w:instrText>
      </w:r>
      <w:r>
        <w:fldChar w:fldCharType="separate"/>
      </w:r>
      <w:r>
        <w:t>15</w:t>
      </w:r>
      <w:r>
        <w:fldChar w:fldCharType="end"/>
      </w:r>
      <w:r>
        <w:fldChar w:fldCharType="end"/>
      </w:r>
    </w:p>
    <w:p>
      <w:pPr>
        <w:pStyle w:val="29"/>
        <w:tabs>
          <w:tab w:val="right" w:pos="8312"/>
        </w:tabs>
      </w:pPr>
      <w:r>
        <w:fldChar w:fldCharType="begin"/>
      </w:r>
      <w:r>
        <w:instrText xml:space="preserve"> HYPERLINK \l _Toc26220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4.1 </w:t>
      </w:r>
      <w:r>
        <w:rPr>
          <w:rFonts w:hint="eastAsia"/>
          <w:color w:val="0000BF" w:themeColor="hyperlink" w:themeShade="BF"/>
        </w:rPr>
        <w:t>ACC系统改造</w:t>
      </w:r>
      <w:r>
        <w:tab/>
      </w:r>
      <w:r>
        <w:fldChar w:fldCharType="begin"/>
      </w:r>
      <w:r>
        <w:instrText xml:space="preserve"> PAGEREF _Toc26220 </w:instrText>
      </w:r>
      <w:r>
        <w:fldChar w:fldCharType="separate"/>
      </w:r>
      <w:r>
        <w:t>15</w:t>
      </w:r>
      <w:r>
        <w:fldChar w:fldCharType="end"/>
      </w:r>
      <w:r>
        <w:fldChar w:fldCharType="end"/>
      </w:r>
    </w:p>
    <w:p>
      <w:pPr>
        <w:pStyle w:val="29"/>
        <w:tabs>
          <w:tab w:val="right" w:pos="8312"/>
        </w:tabs>
      </w:pPr>
      <w:r>
        <w:fldChar w:fldCharType="begin"/>
      </w:r>
      <w:r>
        <w:instrText xml:space="preserve"> HYPERLINK \l _Toc1974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4.2 </w:t>
      </w:r>
      <w:r>
        <w:rPr>
          <w:rFonts w:hint="eastAsia"/>
          <w:color w:val="0000BF" w:themeColor="hyperlink" w:themeShade="BF"/>
        </w:rPr>
        <w:t>LC升级</w:t>
      </w:r>
      <w:r>
        <w:tab/>
      </w:r>
      <w:r>
        <w:fldChar w:fldCharType="begin"/>
      </w:r>
      <w:r>
        <w:instrText xml:space="preserve"> PAGEREF _Toc1974 </w:instrText>
      </w:r>
      <w:r>
        <w:fldChar w:fldCharType="separate"/>
      </w:r>
      <w:r>
        <w:t>16</w:t>
      </w:r>
      <w:r>
        <w:fldChar w:fldCharType="end"/>
      </w:r>
      <w:r>
        <w:fldChar w:fldCharType="end"/>
      </w:r>
    </w:p>
    <w:p>
      <w:pPr>
        <w:pStyle w:val="29"/>
        <w:tabs>
          <w:tab w:val="right" w:pos="8312"/>
        </w:tabs>
      </w:pPr>
      <w:r>
        <w:fldChar w:fldCharType="begin"/>
      </w:r>
      <w:r>
        <w:instrText xml:space="preserve"> HYPERLINK \l _Toc5347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4.3 </w:t>
      </w:r>
      <w:r>
        <w:rPr>
          <w:rFonts w:hint="eastAsia"/>
          <w:color w:val="0000BF" w:themeColor="hyperlink" w:themeShade="BF"/>
        </w:rPr>
        <w:t>SC系统改造</w:t>
      </w:r>
      <w:r>
        <w:tab/>
      </w:r>
      <w:r>
        <w:fldChar w:fldCharType="begin"/>
      </w:r>
      <w:r>
        <w:instrText xml:space="preserve"> PAGEREF _Toc5347 </w:instrText>
      </w:r>
      <w:r>
        <w:fldChar w:fldCharType="separate"/>
      </w:r>
      <w:r>
        <w:t>17</w:t>
      </w:r>
      <w:r>
        <w:fldChar w:fldCharType="end"/>
      </w:r>
      <w:r>
        <w:fldChar w:fldCharType="end"/>
      </w:r>
    </w:p>
    <w:p>
      <w:pPr>
        <w:pStyle w:val="20"/>
        <w:tabs>
          <w:tab w:val="right" w:pos="8312"/>
        </w:tabs>
      </w:pPr>
      <w:r>
        <w:fldChar w:fldCharType="begin"/>
      </w:r>
      <w:r>
        <w:instrText xml:space="preserve"> HYPERLINK \l _Toc19631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4.3.1 </w:t>
      </w:r>
      <w:r>
        <w:rPr>
          <w:rFonts w:hint="eastAsia"/>
        </w:rPr>
        <w:t>票务管理程序升级</w:t>
      </w:r>
      <w:r>
        <w:tab/>
      </w:r>
      <w:r>
        <w:fldChar w:fldCharType="begin"/>
      </w:r>
      <w:r>
        <w:instrText xml:space="preserve"> PAGEREF _Toc19631 </w:instrText>
      </w:r>
      <w:r>
        <w:fldChar w:fldCharType="separate"/>
      </w:r>
      <w:r>
        <w:t>17</w:t>
      </w:r>
      <w:r>
        <w:fldChar w:fldCharType="end"/>
      </w:r>
      <w:r>
        <w:fldChar w:fldCharType="end"/>
      </w:r>
    </w:p>
    <w:p>
      <w:pPr>
        <w:pStyle w:val="20"/>
        <w:tabs>
          <w:tab w:val="right" w:pos="8312"/>
        </w:tabs>
      </w:pPr>
      <w:r>
        <w:fldChar w:fldCharType="begin"/>
      </w:r>
      <w:r>
        <w:instrText xml:space="preserve"> HYPERLINK \l _Toc12293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4.3.2 </w:t>
      </w:r>
      <w:r>
        <w:rPr>
          <w:rFonts w:hint="eastAsia"/>
        </w:rPr>
        <w:t>闸机改造升级</w:t>
      </w:r>
      <w:r>
        <w:tab/>
      </w:r>
      <w:r>
        <w:fldChar w:fldCharType="begin"/>
      </w:r>
      <w:r>
        <w:instrText xml:space="preserve"> PAGEREF _Toc12293 </w:instrText>
      </w:r>
      <w:r>
        <w:fldChar w:fldCharType="separate"/>
      </w:r>
      <w:r>
        <w:t>17</w:t>
      </w:r>
      <w:r>
        <w:fldChar w:fldCharType="end"/>
      </w:r>
      <w:r>
        <w:fldChar w:fldCharType="end"/>
      </w:r>
    </w:p>
    <w:p>
      <w:pPr>
        <w:pStyle w:val="20"/>
        <w:tabs>
          <w:tab w:val="right" w:pos="8312"/>
        </w:tabs>
      </w:pPr>
      <w:r>
        <w:fldChar w:fldCharType="begin"/>
      </w:r>
      <w:r>
        <w:instrText xml:space="preserve"> HYPERLINK \l _Toc11208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4.3.3 </w:t>
      </w:r>
      <w:r>
        <w:rPr>
          <w:rFonts w:hint="eastAsia"/>
        </w:rPr>
        <w:t>BOM改造方式</w:t>
      </w:r>
      <w:r>
        <w:tab/>
      </w:r>
      <w:r>
        <w:fldChar w:fldCharType="begin"/>
      </w:r>
      <w:r>
        <w:instrText xml:space="preserve"> PAGEREF _Toc11208 </w:instrText>
      </w:r>
      <w:r>
        <w:fldChar w:fldCharType="separate"/>
      </w:r>
      <w:r>
        <w:t>22</w:t>
      </w:r>
      <w:r>
        <w:fldChar w:fldCharType="end"/>
      </w:r>
      <w:r>
        <w:fldChar w:fldCharType="end"/>
      </w:r>
    </w:p>
    <w:p>
      <w:pPr>
        <w:pStyle w:val="26"/>
        <w:tabs>
          <w:tab w:val="right" w:pos="8312"/>
          <w:tab w:val="clear" w:pos="377"/>
          <w:tab w:val="clear" w:pos="8296"/>
        </w:tabs>
      </w:pPr>
      <w:r>
        <w:fldChar w:fldCharType="begin"/>
      </w:r>
      <w:r>
        <w:instrText xml:space="preserve"> HYPERLINK \l _Toc13661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5 </w:t>
      </w:r>
      <w:r>
        <w:rPr>
          <w:rFonts w:hint="eastAsia"/>
        </w:rPr>
        <w:t>涉及接口</w:t>
      </w:r>
      <w:r>
        <w:tab/>
      </w:r>
      <w:r>
        <w:fldChar w:fldCharType="begin"/>
      </w:r>
      <w:r>
        <w:instrText xml:space="preserve"> PAGEREF _Toc13661 </w:instrText>
      </w:r>
      <w:r>
        <w:fldChar w:fldCharType="separate"/>
      </w:r>
      <w:r>
        <w:t>22</w:t>
      </w:r>
      <w:r>
        <w:fldChar w:fldCharType="end"/>
      </w:r>
      <w:r>
        <w:fldChar w:fldCharType="end"/>
      </w:r>
    </w:p>
    <w:p>
      <w:pPr>
        <w:pStyle w:val="29"/>
        <w:tabs>
          <w:tab w:val="right" w:pos="8312"/>
        </w:tabs>
      </w:pPr>
      <w:r>
        <w:fldChar w:fldCharType="begin"/>
      </w:r>
      <w:r>
        <w:instrText xml:space="preserve"> HYPERLINK \l _Toc6001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5.1 </w:t>
      </w:r>
      <w:r>
        <w:rPr>
          <w:rFonts w:hint="eastAsia"/>
        </w:rPr>
        <w:t>二维码扫码器（读写器）与闸机接口改造</w:t>
      </w:r>
      <w:r>
        <w:tab/>
      </w:r>
      <w:r>
        <w:fldChar w:fldCharType="begin"/>
      </w:r>
      <w:r>
        <w:instrText xml:space="preserve"> PAGEREF _Toc6001 </w:instrText>
      </w:r>
      <w:r>
        <w:fldChar w:fldCharType="separate"/>
      </w:r>
      <w:r>
        <w:t>22</w:t>
      </w:r>
      <w:r>
        <w:fldChar w:fldCharType="end"/>
      </w:r>
      <w:r>
        <w:fldChar w:fldCharType="end"/>
      </w:r>
    </w:p>
    <w:p>
      <w:pPr>
        <w:pStyle w:val="29"/>
        <w:tabs>
          <w:tab w:val="right" w:pos="8312"/>
        </w:tabs>
      </w:pPr>
      <w:r>
        <w:fldChar w:fldCharType="begin"/>
      </w:r>
      <w:r>
        <w:instrText xml:space="preserve"> HYPERLINK \l _Toc21609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5.2 </w:t>
      </w:r>
      <w:r>
        <w:rPr>
          <w:rFonts w:hint="eastAsia"/>
        </w:rPr>
        <w:t>闸机与SC、LC、ACC接口改造</w:t>
      </w:r>
      <w:r>
        <w:tab/>
      </w:r>
      <w:r>
        <w:fldChar w:fldCharType="begin"/>
      </w:r>
      <w:r>
        <w:instrText xml:space="preserve"> PAGEREF _Toc21609 </w:instrText>
      </w:r>
      <w:r>
        <w:fldChar w:fldCharType="separate"/>
      </w:r>
      <w:r>
        <w:t>23</w:t>
      </w:r>
      <w:r>
        <w:fldChar w:fldCharType="end"/>
      </w:r>
      <w:r>
        <w:fldChar w:fldCharType="end"/>
      </w:r>
    </w:p>
    <w:p>
      <w:pPr>
        <w:pStyle w:val="29"/>
        <w:tabs>
          <w:tab w:val="right" w:pos="8312"/>
        </w:tabs>
      </w:pPr>
      <w:r>
        <w:fldChar w:fldCharType="begin"/>
      </w:r>
      <w:r>
        <w:instrText xml:space="preserve"> HYPERLINK \l _Toc5335 </w:instrText>
      </w:r>
      <w:r>
        <w:fldChar w:fldCharType="separate"/>
      </w:r>
      <w:r>
        <w:rPr>
          <w:rFonts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5.3 </w:t>
      </w:r>
      <w:r>
        <w:rPr>
          <w:rFonts w:hint="eastAsia"/>
        </w:rPr>
        <w:t>ACC与多元化支付平台接口改造</w:t>
      </w:r>
      <w:r>
        <w:tab/>
      </w:r>
      <w:r>
        <w:fldChar w:fldCharType="begin"/>
      </w:r>
      <w:r>
        <w:instrText xml:space="preserve"> PAGEREF _Toc5335 </w:instrText>
      </w:r>
      <w:r>
        <w:fldChar w:fldCharType="separate"/>
      </w:r>
      <w:r>
        <w:t>23</w:t>
      </w:r>
      <w:r>
        <w:fldChar w:fldCharType="end"/>
      </w:r>
      <w:r>
        <w:fldChar w:fldCharType="end"/>
      </w:r>
    </w:p>
    <w:p>
      <w:pPr>
        <w:pStyle w:val="26"/>
        <w:tabs>
          <w:tab w:val="right" w:pos="8312"/>
          <w:tab w:val="clear" w:pos="377"/>
          <w:tab w:val="clear" w:pos="8296"/>
        </w:tabs>
      </w:pPr>
      <w:r>
        <w:fldChar w:fldCharType="begin"/>
      </w:r>
      <w:r>
        <w:instrText xml:space="preserve"> HYPERLINK \l _Toc19133 </w:instrText>
      </w:r>
      <w:r>
        <w:fldChar w:fldCharType="separate"/>
      </w:r>
      <w:r>
        <w:rPr>
          <w:rFonts w:hint="eastAsia"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6 </w:t>
      </w:r>
      <w:r>
        <w:rPr>
          <w:rFonts w:hint="eastAsia" w:ascii="Arial" w:hAnsi="Arial"/>
        </w:rPr>
        <w:t>地铁服务器设备性能选型参考</w:t>
      </w:r>
      <w:r>
        <w:tab/>
      </w:r>
      <w:r>
        <w:fldChar w:fldCharType="begin"/>
      </w:r>
      <w:r>
        <w:instrText xml:space="preserve"> PAGEREF _Toc19133 </w:instrText>
      </w:r>
      <w:r>
        <w:fldChar w:fldCharType="separate"/>
      </w:r>
      <w:r>
        <w:t>23</w:t>
      </w:r>
      <w:r>
        <w:fldChar w:fldCharType="end"/>
      </w:r>
      <w:r>
        <w:fldChar w:fldCharType="end"/>
      </w:r>
    </w:p>
    <w:p>
      <w:pPr>
        <w:pStyle w:val="29"/>
        <w:tabs>
          <w:tab w:val="right" w:pos="8312"/>
        </w:tabs>
      </w:pPr>
      <w:r>
        <w:fldChar w:fldCharType="begin"/>
      </w:r>
      <w:r>
        <w:instrText xml:space="preserve"> HYPERLINK \l _Toc27630 </w:instrText>
      </w:r>
      <w:r>
        <w:fldChar w:fldCharType="separate"/>
      </w:r>
      <w:r>
        <w:rPr>
          <w:rFonts w:hint="eastAsia"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6.1 </w:t>
      </w:r>
      <w:r>
        <w:rPr>
          <w:rFonts w:hint="eastAsia" w:ascii="Arial" w:hAnsi="Arial"/>
        </w:rPr>
        <w:t>网络结构</w:t>
      </w:r>
      <w:r>
        <w:tab/>
      </w:r>
      <w:r>
        <w:fldChar w:fldCharType="begin"/>
      </w:r>
      <w:r>
        <w:instrText xml:space="preserve"> PAGEREF _Toc27630 </w:instrText>
      </w:r>
      <w:r>
        <w:fldChar w:fldCharType="separate"/>
      </w:r>
      <w:r>
        <w:t>23</w:t>
      </w:r>
      <w:r>
        <w:fldChar w:fldCharType="end"/>
      </w:r>
      <w:r>
        <w:fldChar w:fldCharType="end"/>
      </w:r>
    </w:p>
    <w:p>
      <w:pPr>
        <w:pStyle w:val="29"/>
        <w:tabs>
          <w:tab w:val="right" w:pos="8312"/>
        </w:tabs>
      </w:pPr>
      <w:r>
        <w:fldChar w:fldCharType="begin"/>
      </w:r>
      <w:r>
        <w:instrText xml:space="preserve"> HYPERLINK \l _Toc1636 </w:instrText>
      </w:r>
      <w:r>
        <w:fldChar w:fldCharType="separate"/>
      </w:r>
      <w:r>
        <w:rPr>
          <w:rFonts w:hint="eastAsia"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6.2 </w:t>
      </w:r>
      <w:r>
        <w:rPr>
          <w:rFonts w:hint="eastAsia" w:ascii="Arial" w:hAnsi="Arial"/>
        </w:rPr>
        <w:t>数据库服务器选型评估</w:t>
      </w:r>
      <w:r>
        <w:tab/>
      </w:r>
      <w:r>
        <w:fldChar w:fldCharType="begin"/>
      </w:r>
      <w:r>
        <w:instrText xml:space="preserve"> PAGEREF _Toc1636 </w:instrText>
      </w:r>
      <w:r>
        <w:fldChar w:fldCharType="separate"/>
      </w:r>
      <w:r>
        <w:t>24</w:t>
      </w:r>
      <w:r>
        <w:fldChar w:fldCharType="end"/>
      </w:r>
      <w:r>
        <w:fldChar w:fldCharType="end"/>
      </w:r>
    </w:p>
    <w:p>
      <w:pPr>
        <w:pStyle w:val="20"/>
        <w:tabs>
          <w:tab w:val="right" w:pos="8312"/>
        </w:tabs>
      </w:pPr>
      <w:r>
        <w:fldChar w:fldCharType="begin"/>
      </w:r>
      <w:r>
        <w:instrText xml:space="preserve"> HYPERLINK \l _Toc10449 </w:instrText>
      </w:r>
      <w:r>
        <w:fldChar w:fldCharType="separate"/>
      </w:r>
      <w:r>
        <w:rPr>
          <w:rFonts w:hint="eastAsia"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6.2.1 </w:t>
      </w:r>
      <w:r>
        <w:rPr>
          <w:rFonts w:hint="eastAsia" w:ascii="Arial" w:hAnsi="Arial"/>
        </w:rPr>
        <w:t>CPU性能推算：</w:t>
      </w:r>
      <w:r>
        <w:tab/>
      </w:r>
      <w:r>
        <w:fldChar w:fldCharType="begin"/>
      </w:r>
      <w:r>
        <w:instrText xml:space="preserve"> PAGEREF _Toc10449 </w:instrText>
      </w:r>
      <w:r>
        <w:fldChar w:fldCharType="separate"/>
      </w:r>
      <w:r>
        <w:t>24</w:t>
      </w:r>
      <w:r>
        <w:fldChar w:fldCharType="end"/>
      </w:r>
      <w:r>
        <w:fldChar w:fldCharType="end"/>
      </w:r>
    </w:p>
    <w:p>
      <w:pPr>
        <w:pStyle w:val="20"/>
        <w:tabs>
          <w:tab w:val="right" w:pos="8312"/>
        </w:tabs>
      </w:pPr>
      <w:r>
        <w:fldChar w:fldCharType="begin"/>
      </w:r>
      <w:r>
        <w:instrText xml:space="preserve"> HYPERLINK \l _Toc26695 </w:instrText>
      </w:r>
      <w:r>
        <w:fldChar w:fldCharType="separate"/>
      </w:r>
      <w:r>
        <w:rPr>
          <w:rFonts w:hint="eastAsia"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6.2.2 </w:t>
      </w:r>
      <w:r>
        <w:rPr>
          <w:rFonts w:hint="eastAsia" w:ascii="Arial" w:hAnsi="Arial"/>
        </w:rPr>
        <w:t>内存估算</w:t>
      </w:r>
      <w:r>
        <w:tab/>
      </w:r>
      <w:r>
        <w:fldChar w:fldCharType="begin"/>
      </w:r>
      <w:r>
        <w:instrText xml:space="preserve"> PAGEREF _Toc26695 </w:instrText>
      </w:r>
      <w:r>
        <w:fldChar w:fldCharType="separate"/>
      </w:r>
      <w:r>
        <w:t>25</w:t>
      </w:r>
      <w:r>
        <w:fldChar w:fldCharType="end"/>
      </w:r>
      <w:r>
        <w:fldChar w:fldCharType="end"/>
      </w:r>
    </w:p>
    <w:p>
      <w:pPr>
        <w:pStyle w:val="20"/>
        <w:tabs>
          <w:tab w:val="right" w:pos="8312"/>
        </w:tabs>
      </w:pPr>
      <w:r>
        <w:fldChar w:fldCharType="begin"/>
      </w:r>
      <w:r>
        <w:instrText xml:space="preserve"> HYPERLINK \l _Toc290 </w:instrText>
      </w:r>
      <w:r>
        <w:fldChar w:fldCharType="separate"/>
      </w:r>
      <w:r>
        <w:rPr>
          <w:rFonts w:hint="eastAsia"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6.2.3 </w:t>
      </w:r>
      <w:r>
        <w:rPr>
          <w:rFonts w:hint="eastAsia" w:ascii="Arial" w:hAnsi="Arial"/>
        </w:rPr>
        <w:t>硬盘阵列</w:t>
      </w:r>
      <w:r>
        <w:tab/>
      </w:r>
      <w:r>
        <w:fldChar w:fldCharType="begin"/>
      </w:r>
      <w:r>
        <w:instrText xml:space="preserve"> PAGEREF _Toc290 </w:instrText>
      </w:r>
      <w:r>
        <w:fldChar w:fldCharType="separate"/>
      </w:r>
      <w:r>
        <w:t>25</w:t>
      </w:r>
      <w:r>
        <w:fldChar w:fldCharType="end"/>
      </w:r>
      <w:r>
        <w:fldChar w:fldCharType="end"/>
      </w:r>
    </w:p>
    <w:p>
      <w:pPr>
        <w:pStyle w:val="29"/>
        <w:tabs>
          <w:tab w:val="right" w:pos="8312"/>
        </w:tabs>
      </w:pPr>
      <w:r>
        <w:fldChar w:fldCharType="begin"/>
      </w:r>
      <w:r>
        <w:instrText xml:space="preserve"> HYPERLINK \l _Toc3725 </w:instrText>
      </w:r>
      <w:r>
        <w:fldChar w:fldCharType="separate"/>
      </w:r>
      <w:r>
        <w:rPr>
          <w:rFonts w:hint="eastAsia"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6.3 </w:t>
      </w:r>
      <w:r>
        <w:rPr>
          <w:rFonts w:hint="eastAsia" w:ascii="Arial" w:hAnsi="Arial"/>
        </w:rPr>
        <w:t>应用服务器选型评估</w:t>
      </w:r>
      <w:r>
        <w:tab/>
      </w:r>
      <w:r>
        <w:fldChar w:fldCharType="begin"/>
      </w:r>
      <w:r>
        <w:instrText xml:space="preserve"> PAGEREF _Toc3725 </w:instrText>
      </w:r>
      <w:r>
        <w:fldChar w:fldCharType="separate"/>
      </w:r>
      <w:r>
        <w:t>26</w:t>
      </w:r>
      <w:r>
        <w:fldChar w:fldCharType="end"/>
      </w:r>
      <w:r>
        <w:fldChar w:fldCharType="end"/>
      </w:r>
    </w:p>
    <w:p>
      <w:pPr>
        <w:pStyle w:val="20"/>
        <w:tabs>
          <w:tab w:val="right" w:pos="8312"/>
        </w:tabs>
      </w:pPr>
      <w:r>
        <w:fldChar w:fldCharType="begin"/>
      </w:r>
      <w:r>
        <w:instrText xml:space="preserve"> HYPERLINK \l _Toc1350 </w:instrText>
      </w:r>
      <w:r>
        <w:fldChar w:fldCharType="separate"/>
      </w:r>
      <w:r>
        <w:rPr>
          <w:rFonts w:hint="eastAsia"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6.3.1 </w:t>
      </w:r>
      <w:r>
        <w:rPr>
          <w:rFonts w:hint="eastAsia" w:ascii="Arial" w:hAnsi="Arial"/>
        </w:rPr>
        <w:t>CPU性能推算：</w:t>
      </w:r>
      <w:r>
        <w:tab/>
      </w:r>
      <w:r>
        <w:fldChar w:fldCharType="begin"/>
      </w:r>
      <w:r>
        <w:instrText xml:space="preserve"> PAGEREF _Toc1350 </w:instrText>
      </w:r>
      <w:r>
        <w:fldChar w:fldCharType="separate"/>
      </w:r>
      <w:r>
        <w:t>26</w:t>
      </w:r>
      <w:r>
        <w:fldChar w:fldCharType="end"/>
      </w:r>
      <w:r>
        <w:fldChar w:fldCharType="end"/>
      </w:r>
    </w:p>
    <w:p>
      <w:pPr>
        <w:pStyle w:val="20"/>
        <w:tabs>
          <w:tab w:val="right" w:pos="8312"/>
        </w:tabs>
      </w:pPr>
      <w:r>
        <w:fldChar w:fldCharType="begin"/>
      </w:r>
      <w:r>
        <w:instrText xml:space="preserve"> HYPERLINK \l _Toc3934 </w:instrText>
      </w:r>
      <w:r>
        <w:fldChar w:fldCharType="separate"/>
      </w:r>
      <w:r>
        <w:rPr>
          <w:rFonts w:hint="eastAsia"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6.3.2 </w:t>
      </w:r>
      <w:r>
        <w:rPr>
          <w:rFonts w:hint="eastAsia" w:ascii="Arial" w:hAnsi="Arial"/>
        </w:rPr>
        <w:t>内存估算</w:t>
      </w:r>
      <w:r>
        <w:tab/>
      </w:r>
      <w:r>
        <w:fldChar w:fldCharType="begin"/>
      </w:r>
      <w:r>
        <w:instrText xml:space="preserve"> PAGEREF _Toc3934 </w:instrText>
      </w:r>
      <w:r>
        <w:fldChar w:fldCharType="separate"/>
      </w:r>
      <w:r>
        <w:t>27</w:t>
      </w:r>
      <w:r>
        <w:fldChar w:fldCharType="end"/>
      </w:r>
      <w:r>
        <w:fldChar w:fldCharType="end"/>
      </w:r>
    </w:p>
    <w:p>
      <w:pPr>
        <w:pStyle w:val="20"/>
        <w:tabs>
          <w:tab w:val="right" w:pos="8312"/>
        </w:tabs>
      </w:pPr>
      <w:r>
        <w:fldChar w:fldCharType="begin"/>
      </w:r>
      <w:r>
        <w:instrText xml:space="preserve"> HYPERLINK \l _Toc1208 </w:instrText>
      </w:r>
      <w:r>
        <w:fldChar w:fldCharType="separate"/>
      </w:r>
      <w:r>
        <w:rPr>
          <w:rFonts w:hint="eastAsia"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6.3.3 </w:t>
      </w:r>
      <w:r>
        <w:rPr>
          <w:rFonts w:hint="eastAsia" w:ascii="Arial" w:hAnsi="Arial"/>
        </w:rPr>
        <w:t>硬盘阵列</w:t>
      </w:r>
      <w:r>
        <w:tab/>
      </w:r>
      <w:r>
        <w:fldChar w:fldCharType="begin"/>
      </w:r>
      <w:r>
        <w:instrText xml:space="preserve"> PAGEREF _Toc1208 </w:instrText>
      </w:r>
      <w:r>
        <w:fldChar w:fldCharType="separate"/>
      </w:r>
      <w:r>
        <w:t>27</w:t>
      </w:r>
      <w:r>
        <w:fldChar w:fldCharType="end"/>
      </w:r>
      <w:r>
        <w:fldChar w:fldCharType="end"/>
      </w:r>
    </w:p>
    <w:p>
      <w:pPr>
        <w:pStyle w:val="29"/>
        <w:tabs>
          <w:tab w:val="right" w:pos="8312"/>
        </w:tabs>
      </w:pPr>
      <w:r>
        <w:fldChar w:fldCharType="begin"/>
      </w:r>
      <w:r>
        <w:instrText xml:space="preserve"> HYPERLINK \l _Toc3702 </w:instrText>
      </w:r>
      <w:r>
        <w:fldChar w:fldCharType="separate"/>
      </w:r>
      <w:r>
        <w:rPr>
          <w:rFonts w:hint="eastAsia" w:ascii="Times New Roman" w:hAnsi="Times New Roman" w:cs="Times New Roman"/>
          <w:bCs w:val="0"/>
          <w:i w:val="0"/>
          <w:iCs w:val="0"/>
          <w:caps w:val="0"/>
          <w:smallCaps w:val="0"/>
          <w:strike w:val="0"/>
          <w:dstrike w:val="0"/>
          <w:snapToGrid w:val="0"/>
          <w:vanish w:val="0"/>
          <w:spacing w:val="0"/>
          <w:w w:val="0"/>
          <w:kern w:val="0"/>
          <w:position w:val="0"/>
          <w:szCs w:val="0"/>
          <w:vertAlign w:val="baseline"/>
          <w14:shadow w14:blurRad="0" w14:dist="0" w14:dir="0" w14:sx="0" w14:sy="0" w14:kx="0" w14:ky="0" w14:algn="none">
            <w14:srgbClr w14:val="000000"/>
          </w14:shadow>
        </w:rPr>
        <w:t xml:space="preserve">6.4 </w:t>
      </w:r>
      <w:r>
        <w:rPr>
          <w:rFonts w:hint="eastAsia" w:ascii="Arial" w:hAnsi="Arial"/>
        </w:rPr>
        <w:t>存储服务器</w:t>
      </w:r>
      <w:r>
        <w:tab/>
      </w:r>
      <w:r>
        <w:fldChar w:fldCharType="begin"/>
      </w:r>
      <w:r>
        <w:instrText xml:space="preserve"> PAGEREF _Toc3702 </w:instrText>
      </w:r>
      <w:r>
        <w:fldChar w:fldCharType="separate"/>
      </w:r>
      <w:r>
        <w:t>27</w:t>
      </w:r>
      <w:r>
        <w:fldChar w:fldCharType="end"/>
      </w:r>
      <w:r>
        <w:fldChar w:fldCharType="end"/>
      </w:r>
    </w:p>
    <w:p>
      <w:pPr>
        <w:pStyle w:val="41"/>
        <w:ind w:firstLine="0"/>
      </w:pPr>
      <w:r>
        <w:fldChar w:fldCharType="end"/>
      </w:r>
    </w:p>
    <w:p>
      <w:pPr>
        <w:pStyle w:val="2"/>
      </w:pPr>
      <w:bookmarkStart w:id="0" w:name="_Toc503218066"/>
      <w:bookmarkStart w:id="1" w:name="_Toc32498"/>
      <w:r>
        <w:rPr>
          <w:rFonts w:hint="eastAsia"/>
        </w:rPr>
        <w:t>概述</w:t>
      </w:r>
      <w:bookmarkEnd w:id="0"/>
      <w:bookmarkEnd w:id="1"/>
    </w:p>
    <w:p>
      <w:pPr>
        <w:pStyle w:val="3"/>
      </w:pPr>
      <w:bookmarkStart w:id="2" w:name="_Toc503218067"/>
      <w:bookmarkStart w:id="3" w:name="_Toc1174"/>
      <w:r>
        <w:rPr>
          <w:rFonts w:hint="eastAsia"/>
        </w:rPr>
        <w:t>背景</w:t>
      </w:r>
      <w:bookmarkEnd w:id="2"/>
      <w:bookmarkEnd w:id="3"/>
    </w:p>
    <w:p>
      <w:pPr>
        <w:pStyle w:val="41"/>
        <w:spacing w:line="360" w:lineRule="auto"/>
        <w:rPr>
          <w:szCs w:val="24"/>
        </w:rPr>
      </w:pPr>
      <w:r>
        <w:rPr>
          <w:rFonts w:hint="eastAsia"/>
          <w:szCs w:val="24"/>
        </w:rPr>
        <w:t>在 2016 年全国人大十二届三次会议上，李克强总理在政府工作报告中提出制定“互联网+”行动计划，推动移动互联网、云计算、大数据、物联网等与现代制造业结合，促进电子商务、工业互联网和互联网金融健康发展，引导互联网企业拓展国际市场。</w:t>
      </w:r>
    </w:p>
    <w:p>
      <w:pPr>
        <w:pStyle w:val="41"/>
        <w:spacing w:line="360" w:lineRule="auto"/>
        <w:rPr>
          <w:szCs w:val="24"/>
        </w:rPr>
      </w:pPr>
      <w:r>
        <w:rPr>
          <w:rFonts w:hint="eastAsia"/>
          <w:szCs w:val="24"/>
        </w:rPr>
        <w:t>随着互联网迅猛发展，将互联网+与城市轨道交通AFC 系统深度融合，对传统的“站厅售票、站厅检票”进行演变，实现“通过互联网模式，刷取智能终端过闸乃至免刷过闸” 的互联网+AFC 新型应用模式。全国地铁行业陆续开始研究AFC 系统向“互联网+”模式转变的方案，主要体现在各城市陆续推进手机二维码过闸这一快速、便捷的过闸乘车方式。</w:t>
      </w:r>
    </w:p>
    <w:p>
      <w:pPr>
        <w:pStyle w:val="3"/>
      </w:pPr>
      <w:bookmarkStart w:id="4" w:name="_Toc503218068"/>
      <w:bookmarkStart w:id="5" w:name="_Toc26895"/>
      <w:r>
        <w:rPr>
          <w:rFonts w:hint="eastAsia"/>
        </w:rPr>
        <w:t>国内地铁手机二维码过闸应用现状</w:t>
      </w:r>
      <w:bookmarkEnd w:id="4"/>
      <w:bookmarkEnd w:id="5"/>
    </w:p>
    <w:p>
      <w:pPr>
        <w:pStyle w:val="41"/>
        <w:spacing w:line="360" w:lineRule="auto"/>
        <w:rPr>
          <w:szCs w:val="24"/>
        </w:rPr>
      </w:pPr>
      <w:r>
        <w:rPr>
          <w:rFonts w:hint="eastAsia"/>
          <w:szCs w:val="24"/>
        </w:rPr>
        <w:t>目前，我国北京、上海、无锡、福州、广州、杭州、西安等城市，均已开始试点或实现手机二维码过闸。成都等更多城市正在实施中。</w:t>
      </w:r>
    </w:p>
    <w:p>
      <w:pPr>
        <w:pStyle w:val="41"/>
        <w:numPr>
          <w:ilvl w:val="0"/>
          <w:numId w:val="8"/>
        </w:numPr>
        <w:spacing w:line="240" w:lineRule="auto"/>
        <w:ind w:left="782"/>
        <w:rPr>
          <w:szCs w:val="24"/>
        </w:rPr>
      </w:pPr>
      <w:r>
        <w:rPr>
          <w:rFonts w:hint="eastAsia"/>
          <w:szCs w:val="24"/>
        </w:rPr>
        <w:t xml:space="preserve">北京 </w:t>
      </w:r>
    </w:p>
    <w:p>
      <w:pPr>
        <w:pStyle w:val="41"/>
        <w:spacing w:line="240" w:lineRule="auto"/>
        <w:ind w:left="782" w:firstLine="0"/>
        <w:rPr>
          <w:szCs w:val="24"/>
        </w:rPr>
      </w:pPr>
      <w:r>
        <w:rPr>
          <w:rFonts w:hint="eastAsia"/>
          <w:szCs w:val="24"/>
        </w:rPr>
        <w:t>北京于2017年9月起，在机场线(单线</w:t>
      </w:r>
      <w:r>
        <w:rPr>
          <w:szCs w:val="24"/>
        </w:rPr>
        <w:t>)</w:t>
      </w:r>
      <w:r>
        <w:rPr>
          <w:rFonts w:hint="eastAsia"/>
          <w:szCs w:val="24"/>
        </w:rPr>
        <w:t>试点手机二维码过闸业务。</w:t>
      </w:r>
    </w:p>
    <w:p>
      <w:pPr>
        <w:pStyle w:val="41"/>
        <w:numPr>
          <w:ilvl w:val="0"/>
          <w:numId w:val="8"/>
        </w:numPr>
        <w:spacing w:line="240" w:lineRule="auto"/>
        <w:ind w:left="782"/>
        <w:rPr>
          <w:szCs w:val="24"/>
        </w:rPr>
      </w:pPr>
      <w:r>
        <w:rPr>
          <w:rFonts w:hint="eastAsia"/>
          <w:szCs w:val="24"/>
        </w:rPr>
        <w:t>上海</w:t>
      </w:r>
    </w:p>
    <w:p>
      <w:pPr>
        <w:pStyle w:val="41"/>
        <w:spacing w:line="240" w:lineRule="auto"/>
        <w:ind w:left="782" w:firstLine="0"/>
        <w:rPr>
          <w:szCs w:val="24"/>
        </w:rPr>
      </w:pPr>
      <w:r>
        <w:rPr>
          <w:rFonts w:hint="eastAsia"/>
          <w:szCs w:val="24"/>
        </w:rPr>
        <w:t>磁悬浮线试点手机二维码过闸业务。</w:t>
      </w:r>
    </w:p>
    <w:p>
      <w:pPr>
        <w:pStyle w:val="41"/>
        <w:numPr>
          <w:ilvl w:val="0"/>
          <w:numId w:val="8"/>
        </w:numPr>
        <w:spacing w:line="240" w:lineRule="auto"/>
        <w:ind w:left="782"/>
        <w:rPr>
          <w:szCs w:val="24"/>
        </w:rPr>
      </w:pPr>
      <w:r>
        <w:rPr>
          <w:rFonts w:hint="eastAsia"/>
          <w:szCs w:val="24"/>
        </w:rPr>
        <w:t>无锡</w:t>
      </w:r>
    </w:p>
    <w:p>
      <w:pPr>
        <w:pStyle w:val="41"/>
        <w:spacing w:line="240" w:lineRule="auto"/>
        <w:ind w:left="782" w:firstLine="0"/>
        <w:rPr>
          <w:szCs w:val="24"/>
        </w:rPr>
      </w:pPr>
      <w:r>
        <w:rPr>
          <w:rFonts w:hint="eastAsia"/>
          <w:szCs w:val="24"/>
        </w:rPr>
        <w:t>无锡于2017年5月实现全线扫码过闸，采用在线刷码在线验码模式。</w:t>
      </w:r>
    </w:p>
    <w:p>
      <w:pPr>
        <w:pStyle w:val="41"/>
        <w:numPr>
          <w:ilvl w:val="0"/>
          <w:numId w:val="8"/>
        </w:numPr>
        <w:spacing w:line="240" w:lineRule="auto"/>
        <w:ind w:left="782"/>
        <w:rPr>
          <w:szCs w:val="24"/>
        </w:rPr>
      </w:pPr>
      <w:r>
        <w:rPr>
          <w:rFonts w:hint="eastAsia"/>
          <w:szCs w:val="24"/>
        </w:rPr>
        <w:t>福州</w:t>
      </w:r>
    </w:p>
    <w:p>
      <w:pPr>
        <w:pStyle w:val="41"/>
        <w:spacing w:line="240" w:lineRule="auto"/>
        <w:ind w:left="782" w:firstLine="0"/>
        <w:rPr>
          <w:szCs w:val="24"/>
        </w:rPr>
      </w:pPr>
      <w:r>
        <w:rPr>
          <w:rFonts w:hint="eastAsia"/>
          <w:szCs w:val="24"/>
        </w:rPr>
        <w:t>福州2017年10月实现手机过闸，与无锡模式相同。</w:t>
      </w:r>
    </w:p>
    <w:p>
      <w:pPr>
        <w:pStyle w:val="41"/>
        <w:numPr>
          <w:ilvl w:val="0"/>
          <w:numId w:val="8"/>
        </w:numPr>
        <w:spacing w:line="240" w:lineRule="auto"/>
        <w:ind w:left="782"/>
        <w:rPr>
          <w:szCs w:val="24"/>
        </w:rPr>
      </w:pPr>
      <w:r>
        <w:rPr>
          <w:rFonts w:hint="eastAsia"/>
          <w:szCs w:val="24"/>
        </w:rPr>
        <w:t>广州</w:t>
      </w:r>
    </w:p>
    <w:p>
      <w:pPr>
        <w:pStyle w:val="41"/>
        <w:spacing w:line="240" w:lineRule="auto"/>
        <w:ind w:left="782" w:firstLine="0"/>
        <w:rPr>
          <w:szCs w:val="24"/>
        </w:rPr>
      </w:pPr>
      <w:r>
        <w:rPr>
          <w:rFonts w:hint="eastAsia"/>
          <w:szCs w:val="24"/>
        </w:rPr>
        <w:t>广州与2017年11月实现全线扫码过闸功能，但此功能并未向乘客全面开放。</w:t>
      </w:r>
    </w:p>
    <w:p>
      <w:pPr>
        <w:pStyle w:val="41"/>
        <w:numPr>
          <w:ilvl w:val="0"/>
          <w:numId w:val="8"/>
        </w:numPr>
        <w:spacing w:line="240" w:lineRule="auto"/>
        <w:ind w:left="782"/>
        <w:rPr>
          <w:szCs w:val="24"/>
        </w:rPr>
      </w:pPr>
      <w:r>
        <w:rPr>
          <w:rFonts w:hint="eastAsia"/>
          <w:szCs w:val="24"/>
        </w:rPr>
        <w:t>杭州</w:t>
      </w:r>
    </w:p>
    <w:p>
      <w:pPr>
        <w:pStyle w:val="41"/>
        <w:spacing w:line="240" w:lineRule="auto"/>
        <w:ind w:left="782" w:firstLine="0"/>
        <w:rPr>
          <w:szCs w:val="24"/>
        </w:rPr>
      </w:pPr>
      <w:r>
        <w:rPr>
          <w:rFonts w:hint="eastAsia"/>
          <w:szCs w:val="24"/>
        </w:rPr>
        <w:t>杭州于2017年12月27日全线开通二维码过闸，采用双离线模式。</w:t>
      </w:r>
    </w:p>
    <w:p>
      <w:pPr>
        <w:pStyle w:val="41"/>
        <w:numPr>
          <w:ilvl w:val="0"/>
          <w:numId w:val="8"/>
        </w:numPr>
        <w:spacing w:line="240" w:lineRule="auto"/>
        <w:ind w:left="782"/>
        <w:rPr>
          <w:szCs w:val="24"/>
        </w:rPr>
      </w:pPr>
      <w:r>
        <w:rPr>
          <w:rFonts w:hint="eastAsia"/>
          <w:szCs w:val="24"/>
        </w:rPr>
        <w:t>西安</w:t>
      </w:r>
    </w:p>
    <w:p>
      <w:pPr>
        <w:pStyle w:val="41"/>
        <w:spacing w:line="240" w:lineRule="auto"/>
        <w:ind w:left="782" w:firstLine="0"/>
        <w:rPr>
          <w:szCs w:val="24"/>
        </w:rPr>
      </w:pPr>
      <w:r>
        <w:rPr>
          <w:rFonts w:hint="eastAsia"/>
          <w:szCs w:val="24"/>
        </w:rPr>
        <w:t>西安于2018年1月1日正式全线开通二维码过闸，采用双离线模式，3条线共计271个通道，目前每日平均使用人次超过15万人次。</w:t>
      </w:r>
    </w:p>
    <w:p>
      <w:pPr>
        <w:pStyle w:val="3"/>
      </w:pPr>
      <w:bookmarkStart w:id="6" w:name="_Toc503218070"/>
      <w:bookmarkStart w:id="7" w:name="_Toc5475"/>
      <w:r>
        <w:rPr>
          <w:rFonts w:hint="eastAsia"/>
        </w:rPr>
        <w:t>通用标准术语</w:t>
      </w:r>
      <w:bookmarkEnd w:id="6"/>
      <w:bookmarkEnd w:id="7"/>
    </w:p>
    <w:p>
      <w:pPr>
        <w:pStyle w:val="41"/>
        <w:rPr>
          <w:szCs w:val="24"/>
        </w:rPr>
      </w:pPr>
      <w:r>
        <w:rPr>
          <w:rFonts w:hint="eastAsia"/>
          <w:szCs w:val="24"/>
        </w:rPr>
        <w:t>本文中用到的主要专门术语的定义和缩略语如下表所示：</w:t>
      </w:r>
    </w:p>
    <w:tbl>
      <w:tblPr>
        <w:tblStyle w:val="38"/>
        <w:tblW w:w="8379"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040"/>
        <w:gridCol w:w="1376"/>
        <w:gridCol w:w="5963"/>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1040" w:type="dxa"/>
            <w:shd w:val="clear" w:color="auto" w:fill="auto"/>
            <w:vAlign w:val="center"/>
          </w:tcPr>
          <w:p>
            <w:pPr>
              <w:pStyle w:val="44"/>
              <w:rPr>
                <w:szCs w:val="24"/>
              </w:rPr>
            </w:pPr>
            <w:r>
              <w:rPr>
                <w:rFonts w:hint="eastAsia"/>
                <w:szCs w:val="24"/>
              </w:rPr>
              <w:t>序号</w:t>
            </w:r>
          </w:p>
        </w:tc>
        <w:tc>
          <w:tcPr>
            <w:tcW w:w="1376" w:type="dxa"/>
            <w:shd w:val="clear" w:color="auto" w:fill="auto"/>
            <w:vAlign w:val="center"/>
          </w:tcPr>
          <w:p>
            <w:pPr>
              <w:pStyle w:val="44"/>
              <w:rPr>
                <w:szCs w:val="24"/>
              </w:rPr>
            </w:pPr>
            <w:r>
              <w:rPr>
                <w:rFonts w:hint="eastAsia"/>
                <w:szCs w:val="24"/>
              </w:rPr>
              <w:t>缩写</w:t>
            </w:r>
          </w:p>
        </w:tc>
        <w:tc>
          <w:tcPr>
            <w:tcW w:w="5963" w:type="dxa"/>
            <w:shd w:val="clear" w:color="auto" w:fill="auto"/>
            <w:vAlign w:val="center"/>
          </w:tcPr>
          <w:p>
            <w:pPr>
              <w:pStyle w:val="44"/>
              <w:rPr>
                <w:szCs w:val="24"/>
              </w:rPr>
            </w:pPr>
            <w:r>
              <w:rPr>
                <w:rFonts w:hint="eastAsia"/>
                <w:szCs w:val="24"/>
              </w:rPr>
              <w:t>解释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1040" w:type="dxa"/>
            <w:shd w:val="clear" w:color="auto" w:fill="auto"/>
            <w:vAlign w:val="center"/>
          </w:tcPr>
          <w:p>
            <w:pPr>
              <w:pStyle w:val="44"/>
              <w:rPr>
                <w:szCs w:val="24"/>
              </w:rPr>
            </w:pPr>
            <w:r>
              <w:rPr>
                <w:szCs w:val="24"/>
              </w:rPr>
              <w:t>1</w:t>
            </w:r>
          </w:p>
        </w:tc>
        <w:tc>
          <w:tcPr>
            <w:tcW w:w="1376" w:type="dxa"/>
            <w:shd w:val="clear" w:color="auto" w:fill="auto"/>
            <w:vAlign w:val="center"/>
          </w:tcPr>
          <w:p>
            <w:pPr>
              <w:pStyle w:val="44"/>
              <w:rPr>
                <w:b w:val="0"/>
                <w:szCs w:val="24"/>
              </w:rPr>
            </w:pPr>
            <w:r>
              <w:rPr>
                <w:b w:val="0"/>
                <w:szCs w:val="24"/>
              </w:rPr>
              <w:t>AFC</w:t>
            </w:r>
          </w:p>
        </w:tc>
        <w:tc>
          <w:tcPr>
            <w:tcW w:w="5963" w:type="dxa"/>
            <w:shd w:val="clear" w:color="auto" w:fill="auto"/>
            <w:vAlign w:val="center"/>
          </w:tcPr>
          <w:p>
            <w:pPr>
              <w:pStyle w:val="44"/>
              <w:jc w:val="left"/>
              <w:rPr>
                <w:b w:val="0"/>
                <w:szCs w:val="24"/>
              </w:rPr>
            </w:pPr>
            <w:r>
              <w:rPr>
                <w:rFonts w:hint="eastAsia"/>
                <w:b w:val="0"/>
                <w:szCs w:val="24"/>
              </w:rPr>
              <w:t>自动售检票（</w:t>
            </w:r>
            <w:r>
              <w:rPr>
                <w:b w:val="0"/>
                <w:szCs w:val="24"/>
              </w:rPr>
              <w:t>Automatic Fare Collection</w:t>
            </w:r>
            <w:r>
              <w:rPr>
                <w:rFonts w:hint="eastAsia"/>
                <w:b w:val="0"/>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1040" w:type="dxa"/>
            <w:shd w:val="clear" w:color="auto" w:fill="auto"/>
            <w:vAlign w:val="center"/>
          </w:tcPr>
          <w:p>
            <w:pPr>
              <w:pStyle w:val="44"/>
              <w:rPr>
                <w:szCs w:val="24"/>
              </w:rPr>
            </w:pPr>
            <w:r>
              <w:rPr>
                <w:szCs w:val="24"/>
              </w:rPr>
              <w:t>2</w:t>
            </w:r>
          </w:p>
        </w:tc>
        <w:tc>
          <w:tcPr>
            <w:tcW w:w="1376" w:type="dxa"/>
            <w:shd w:val="clear" w:color="auto" w:fill="auto"/>
            <w:vAlign w:val="center"/>
          </w:tcPr>
          <w:p>
            <w:pPr>
              <w:pStyle w:val="44"/>
              <w:rPr>
                <w:b w:val="0"/>
                <w:szCs w:val="24"/>
              </w:rPr>
            </w:pPr>
            <w:r>
              <w:rPr>
                <w:b w:val="0"/>
                <w:szCs w:val="24"/>
              </w:rPr>
              <w:t>AGM</w:t>
            </w:r>
          </w:p>
        </w:tc>
        <w:tc>
          <w:tcPr>
            <w:tcW w:w="5963" w:type="dxa"/>
            <w:shd w:val="clear" w:color="auto" w:fill="auto"/>
            <w:vAlign w:val="center"/>
          </w:tcPr>
          <w:p>
            <w:pPr>
              <w:pStyle w:val="44"/>
              <w:jc w:val="left"/>
              <w:rPr>
                <w:b w:val="0"/>
                <w:szCs w:val="24"/>
              </w:rPr>
            </w:pPr>
            <w:r>
              <w:rPr>
                <w:rFonts w:hint="eastAsia"/>
                <w:b w:val="0"/>
                <w:szCs w:val="24"/>
              </w:rPr>
              <w:t>自动检票机（</w:t>
            </w:r>
            <w:r>
              <w:rPr>
                <w:b w:val="0"/>
                <w:szCs w:val="24"/>
              </w:rPr>
              <w:t>Automatic Gate Machine</w:t>
            </w:r>
            <w:r>
              <w:rPr>
                <w:rFonts w:hint="eastAsia"/>
                <w:b w:val="0"/>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1040" w:type="dxa"/>
            <w:shd w:val="clear" w:color="auto" w:fill="auto"/>
            <w:vAlign w:val="center"/>
          </w:tcPr>
          <w:p>
            <w:pPr>
              <w:pStyle w:val="44"/>
              <w:rPr>
                <w:szCs w:val="24"/>
              </w:rPr>
            </w:pPr>
            <w:r>
              <w:rPr>
                <w:szCs w:val="24"/>
              </w:rPr>
              <w:t>3</w:t>
            </w:r>
          </w:p>
        </w:tc>
        <w:tc>
          <w:tcPr>
            <w:tcW w:w="1376" w:type="dxa"/>
            <w:shd w:val="clear" w:color="auto" w:fill="auto"/>
            <w:vAlign w:val="center"/>
          </w:tcPr>
          <w:p>
            <w:pPr>
              <w:pStyle w:val="44"/>
              <w:rPr>
                <w:b w:val="0"/>
                <w:szCs w:val="24"/>
              </w:rPr>
            </w:pPr>
            <w:r>
              <w:rPr>
                <w:b w:val="0"/>
                <w:szCs w:val="24"/>
              </w:rPr>
              <w:t>BOM</w:t>
            </w:r>
          </w:p>
        </w:tc>
        <w:tc>
          <w:tcPr>
            <w:tcW w:w="5963" w:type="dxa"/>
            <w:shd w:val="clear" w:color="auto" w:fill="auto"/>
            <w:vAlign w:val="center"/>
          </w:tcPr>
          <w:p>
            <w:pPr>
              <w:pStyle w:val="44"/>
              <w:jc w:val="left"/>
              <w:rPr>
                <w:b w:val="0"/>
                <w:szCs w:val="24"/>
              </w:rPr>
            </w:pPr>
            <w:r>
              <w:rPr>
                <w:rFonts w:hint="eastAsia"/>
                <w:b w:val="0"/>
                <w:szCs w:val="24"/>
              </w:rPr>
              <w:t>票房售票机</w:t>
            </w:r>
            <w:r>
              <w:rPr>
                <w:b w:val="0"/>
                <w:szCs w:val="24"/>
              </w:rPr>
              <w:t>/</w:t>
            </w:r>
            <w:r>
              <w:rPr>
                <w:rFonts w:hint="eastAsia"/>
                <w:b w:val="0"/>
                <w:szCs w:val="24"/>
              </w:rPr>
              <w:t>半自动售票机（</w:t>
            </w:r>
            <w:r>
              <w:rPr>
                <w:b w:val="0"/>
                <w:szCs w:val="24"/>
              </w:rPr>
              <w:t>Booking Office Machine</w:t>
            </w:r>
            <w:r>
              <w:rPr>
                <w:rFonts w:hint="eastAsia"/>
                <w:b w:val="0"/>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1040" w:type="dxa"/>
            <w:shd w:val="clear" w:color="auto" w:fill="auto"/>
            <w:vAlign w:val="center"/>
          </w:tcPr>
          <w:p>
            <w:pPr>
              <w:pStyle w:val="44"/>
              <w:rPr>
                <w:szCs w:val="24"/>
              </w:rPr>
            </w:pPr>
            <w:r>
              <w:rPr>
                <w:szCs w:val="24"/>
              </w:rPr>
              <w:t>4</w:t>
            </w:r>
          </w:p>
        </w:tc>
        <w:tc>
          <w:tcPr>
            <w:tcW w:w="1376" w:type="dxa"/>
            <w:shd w:val="clear" w:color="auto" w:fill="auto"/>
            <w:vAlign w:val="center"/>
          </w:tcPr>
          <w:p>
            <w:pPr>
              <w:pStyle w:val="44"/>
              <w:rPr>
                <w:b w:val="0"/>
                <w:szCs w:val="24"/>
              </w:rPr>
            </w:pPr>
            <w:r>
              <w:rPr>
                <w:b w:val="0"/>
                <w:szCs w:val="24"/>
              </w:rPr>
              <w:t>ACC</w:t>
            </w:r>
          </w:p>
        </w:tc>
        <w:tc>
          <w:tcPr>
            <w:tcW w:w="5963" w:type="dxa"/>
            <w:shd w:val="clear" w:color="auto" w:fill="auto"/>
            <w:vAlign w:val="center"/>
          </w:tcPr>
          <w:p>
            <w:pPr>
              <w:pStyle w:val="44"/>
              <w:jc w:val="left"/>
              <w:rPr>
                <w:b w:val="0"/>
                <w:szCs w:val="24"/>
              </w:rPr>
            </w:pPr>
            <w:r>
              <w:rPr>
                <w:rFonts w:hint="eastAsia"/>
                <w:b w:val="0"/>
                <w:szCs w:val="24"/>
              </w:rPr>
              <w:t>清分中心系统（</w:t>
            </w:r>
            <w:r>
              <w:rPr>
                <w:b w:val="0"/>
                <w:szCs w:val="24"/>
              </w:rPr>
              <w:t>AFC Clearing Center</w:t>
            </w:r>
            <w:r>
              <w:rPr>
                <w:rFonts w:hint="eastAsia"/>
                <w:b w:val="0"/>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1040" w:type="dxa"/>
            <w:shd w:val="clear" w:color="auto" w:fill="auto"/>
            <w:vAlign w:val="center"/>
          </w:tcPr>
          <w:p>
            <w:pPr>
              <w:pStyle w:val="44"/>
              <w:rPr>
                <w:szCs w:val="24"/>
              </w:rPr>
            </w:pPr>
            <w:r>
              <w:rPr>
                <w:szCs w:val="24"/>
              </w:rPr>
              <w:t>5</w:t>
            </w:r>
          </w:p>
        </w:tc>
        <w:tc>
          <w:tcPr>
            <w:tcW w:w="1376" w:type="dxa"/>
            <w:shd w:val="clear" w:color="auto" w:fill="auto"/>
            <w:vAlign w:val="center"/>
          </w:tcPr>
          <w:p>
            <w:pPr>
              <w:pStyle w:val="44"/>
              <w:rPr>
                <w:b w:val="0"/>
                <w:szCs w:val="24"/>
              </w:rPr>
            </w:pPr>
            <w:r>
              <w:rPr>
                <w:b w:val="0"/>
                <w:szCs w:val="24"/>
              </w:rPr>
              <w:t>LCC</w:t>
            </w:r>
          </w:p>
        </w:tc>
        <w:tc>
          <w:tcPr>
            <w:tcW w:w="5963" w:type="dxa"/>
            <w:shd w:val="clear" w:color="auto" w:fill="auto"/>
            <w:vAlign w:val="center"/>
          </w:tcPr>
          <w:p>
            <w:pPr>
              <w:pStyle w:val="44"/>
              <w:jc w:val="left"/>
              <w:rPr>
                <w:b w:val="0"/>
                <w:szCs w:val="24"/>
              </w:rPr>
            </w:pPr>
            <w:r>
              <w:rPr>
                <w:rFonts w:hint="eastAsia"/>
                <w:b w:val="0"/>
                <w:szCs w:val="24"/>
              </w:rPr>
              <w:t>线路中央计算机（</w:t>
            </w:r>
            <w:r>
              <w:rPr>
                <w:b w:val="0"/>
                <w:szCs w:val="24"/>
              </w:rPr>
              <w:t>Line Central Computer</w:t>
            </w:r>
            <w:r>
              <w:rPr>
                <w:rFonts w:hint="eastAsia"/>
                <w:b w:val="0"/>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1040" w:type="dxa"/>
            <w:shd w:val="clear" w:color="auto" w:fill="auto"/>
            <w:vAlign w:val="center"/>
          </w:tcPr>
          <w:p>
            <w:pPr>
              <w:pStyle w:val="44"/>
              <w:rPr>
                <w:szCs w:val="24"/>
              </w:rPr>
            </w:pPr>
            <w:r>
              <w:rPr>
                <w:szCs w:val="24"/>
              </w:rPr>
              <w:t>6</w:t>
            </w:r>
          </w:p>
        </w:tc>
        <w:tc>
          <w:tcPr>
            <w:tcW w:w="1376" w:type="dxa"/>
            <w:shd w:val="clear" w:color="auto" w:fill="auto"/>
            <w:vAlign w:val="center"/>
          </w:tcPr>
          <w:p>
            <w:pPr>
              <w:pStyle w:val="44"/>
              <w:rPr>
                <w:b w:val="0"/>
                <w:szCs w:val="24"/>
              </w:rPr>
            </w:pPr>
            <w:r>
              <w:rPr>
                <w:b w:val="0"/>
                <w:szCs w:val="24"/>
              </w:rPr>
              <w:t>OCC</w:t>
            </w:r>
          </w:p>
        </w:tc>
        <w:tc>
          <w:tcPr>
            <w:tcW w:w="5963" w:type="dxa"/>
            <w:shd w:val="clear" w:color="auto" w:fill="auto"/>
            <w:vAlign w:val="center"/>
          </w:tcPr>
          <w:p>
            <w:pPr>
              <w:pStyle w:val="44"/>
              <w:jc w:val="left"/>
              <w:rPr>
                <w:b w:val="0"/>
                <w:szCs w:val="24"/>
              </w:rPr>
            </w:pPr>
            <w:r>
              <w:rPr>
                <w:rFonts w:hint="eastAsia"/>
                <w:b w:val="0"/>
                <w:szCs w:val="24"/>
              </w:rPr>
              <w:t>控制中心（</w:t>
            </w:r>
            <w:r>
              <w:rPr>
                <w:b w:val="0"/>
                <w:szCs w:val="24"/>
              </w:rPr>
              <w:t>Operating Control Center</w:t>
            </w:r>
            <w:r>
              <w:rPr>
                <w:rFonts w:hint="eastAsia"/>
                <w:b w:val="0"/>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1040" w:type="dxa"/>
            <w:shd w:val="clear" w:color="auto" w:fill="auto"/>
            <w:vAlign w:val="center"/>
          </w:tcPr>
          <w:p>
            <w:pPr>
              <w:pStyle w:val="44"/>
              <w:rPr>
                <w:szCs w:val="24"/>
              </w:rPr>
            </w:pPr>
            <w:r>
              <w:rPr>
                <w:szCs w:val="24"/>
              </w:rPr>
              <w:t>7</w:t>
            </w:r>
          </w:p>
        </w:tc>
        <w:tc>
          <w:tcPr>
            <w:tcW w:w="1376" w:type="dxa"/>
            <w:shd w:val="clear" w:color="auto" w:fill="auto"/>
            <w:vAlign w:val="center"/>
          </w:tcPr>
          <w:p>
            <w:pPr>
              <w:pStyle w:val="44"/>
              <w:rPr>
                <w:b w:val="0"/>
                <w:szCs w:val="24"/>
              </w:rPr>
            </w:pPr>
            <w:r>
              <w:rPr>
                <w:b w:val="0"/>
                <w:szCs w:val="24"/>
              </w:rPr>
              <w:t>SAM</w:t>
            </w:r>
          </w:p>
        </w:tc>
        <w:tc>
          <w:tcPr>
            <w:tcW w:w="5963" w:type="dxa"/>
            <w:shd w:val="clear" w:color="auto" w:fill="auto"/>
            <w:vAlign w:val="center"/>
          </w:tcPr>
          <w:p>
            <w:pPr>
              <w:pStyle w:val="44"/>
              <w:jc w:val="left"/>
              <w:rPr>
                <w:b w:val="0"/>
                <w:szCs w:val="24"/>
              </w:rPr>
            </w:pPr>
            <w:r>
              <w:rPr>
                <w:rFonts w:hint="eastAsia"/>
                <w:b w:val="0"/>
                <w:szCs w:val="24"/>
              </w:rPr>
              <w:t>安全存取模块（</w:t>
            </w:r>
            <w:r>
              <w:rPr>
                <w:b w:val="0"/>
                <w:szCs w:val="24"/>
              </w:rPr>
              <w:t>Secure Access Module</w:t>
            </w:r>
            <w:r>
              <w:rPr>
                <w:rFonts w:hint="eastAsia"/>
                <w:b w:val="0"/>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1040" w:type="dxa"/>
            <w:shd w:val="clear" w:color="auto" w:fill="auto"/>
            <w:vAlign w:val="center"/>
          </w:tcPr>
          <w:p>
            <w:pPr>
              <w:pStyle w:val="44"/>
              <w:rPr>
                <w:szCs w:val="24"/>
              </w:rPr>
            </w:pPr>
            <w:r>
              <w:rPr>
                <w:szCs w:val="24"/>
              </w:rPr>
              <w:t>8</w:t>
            </w:r>
          </w:p>
        </w:tc>
        <w:tc>
          <w:tcPr>
            <w:tcW w:w="1376" w:type="dxa"/>
            <w:shd w:val="clear" w:color="auto" w:fill="auto"/>
            <w:vAlign w:val="center"/>
          </w:tcPr>
          <w:p>
            <w:pPr>
              <w:pStyle w:val="44"/>
              <w:rPr>
                <w:b w:val="0"/>
                <w:szCs w:val="24"/>
              </w:rPr>
            </w:pPr>
            <w:r>
              <w:rPr>
                <w:b w:val="0"/>
                <w:szCs w:val="24"/>
              </w:rPr>
              <w:t>SC</w:t>
            </w:r>
          </w:p>
        </w:tc>
        <w:tc>
          <w:tcPr>
            <w:tcW w:w="5963" w:type="dxa"/>
            <w:shd w:val="clear" w:color="auto" w:fill="auto"/>
            <w:vAlign w:val="center"/>
          </w:tcPr>
          <w:p>
            <w:pPr>
              <w:pStyle w:val="44"/>
              <w:jc w:val="left"/>
              <w:rPr>
                <w:b w:val="0"/>
                <w:szCs w:val="24"/>
              </w:rPr>
            </w:pPr>
            <w:r>
              <w:rPr>
                <w:rFonts w:hint="eastAsia"/>
                <w:b w:val="0"/>
                <w:szCs w:val="24"/>
              </w:rPr>
              <w:t>车站计算机（</w:t>
            </w:r>
            <w:r>
              <w:rPr>
                <w:b w:val="0"/>
                <w:szCs w:val="24"/>
              </w:rPr>
              <w:t>Station Computer</w:t>
            </w:r>
            <w:r>
              <w:rPr>
                <w:rFonts w:hint="eastAsia"/>
                <w:b w:val="0"/>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1040" w:type="dxa"/>
            <w:shd w:val="clear" w:color="auto" w:fill="auto"/>
            <w:vAlign w:val="center"/>
          </w:tcPr>
          <w:p>
            <w:pPr>
              <w:pStyle w:val="44"/>
              <w:rPr>
                <w:szCs w:val="24"/>
              </w:rPr>
            </w:pPr>
            <w:r>
              <w:rPr>
                <w:szCs w:val="24"/>
              </w:rPr>
              <w:t>9</w:t>
            </w:r>
          </w:p>
        </w:tc>
        <w:tc>
          <w:tcPr>
            <w:tcW w:w="1376" w:type="dxa"/>
            <w:shd w:val="clear" w:color="auto" w:fill="auto"/>
            <w:vAlign w:val="center"/>
          </w:tcPr>
          <w:p>
            <w:pPr>
              <w:pStyle w:val="44"/>
              <w:rPr>
                <w:b w:val="0"/>
                <w:szCs w:val="24"/>
              </w:rPr>
            </w:pPr>
            <w:r>
              <w:rPr>
                <w:b w:val="0"/>
                <w:szCs w:val="24"/>
              </w:rPr>
              <w:t>SJT</w:t>
            </w:r>
          </w:p>
        </w:tc>
        <w:tc>
          <w:tcPr>
            <w:tcW w:w="5963" w:type="dxa"/>
            <w:shd w:val="clear" w:color="auto" w:fill="auto"/>
            <w:vAlign w:val="center"/>
          </w:tcPr>
          <w:p>
            <w:pPr>
              <w:pStyle w:val="44"/>
              <w:jc w:val="left"/>
              <w:rPr>
                <w:b w:val="0"/>
                <w:szCs w:val="24"/>
              </w:rPr>
            </w:pPr>
            <w:r>
              <w:rPr>
                <w:rFonts w:hint="eastAsia"/>
                <w:b w:val="0"/>
                <w:szCs w:val="24"/>
              </w:rPr>
              <w:t>单程票（</w:t>
            </w:r>
            <w:r>
              <w:rPr>
                <w:b w:val="0"/>
                <w:szCs w:val="24"/>
              </w:rPr>
              <w:t xml:space="preserve">Single Journey Ticket </w:t>
            </w:r>
            <w:r>
              <w:rPr>
                <w:rFonts w:hint="eastAsia"/>
                <w:b w:val="0"/>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1040" w:type="dxa"/>
            <w:shd w:val="clear" w:color="auto" w:fill="auto"/>
            <w:vAlign w:val="center"/>
          </w:tcPr>
          <w:p>
            <w:pPr>
              <w:pStyle w:val="44"/>
              <w:rPr>
                <w:szCs w:val="24"/>
              </w:rPr>
            </w:pPr>
            <w:r>
              <w:rPr>
                <w:szCs w:val="24"/>
              </w:rPr>
              <w:t>10</w:t>
            </w:r>
          </w:p>
        </w:tc>
        <w:tc>
          <w:tcPr>
            <w:tcW w:w="1376" w:type="dxa"/>
            <w:shd w:val="clear" w:color="auto" w:fill="auto"/>
            <w:vAlign w:val="center"/>
          </w:tcPr>
          <w:p>
            <w:pPr>
              <w:pStyle w:val="44"/>
              <w:rPr>
                <w:b w:val="0"/>
                <w:szCs w:val="24"/>
              </w:rPr>
            </w:pPr>
            <w:r>
              <w:rPr>
                <w:b w:val="0"/>
                <w:szCs w:val="24"/>
              </w:rPr>
              <w:t>SLE</w:t>
            </w:r>
          </w:p>
        </w:tc>
        <w:tc>
          <w:tcPr>
            <w:tcW w:w="5963" w:type="dxa"/>
            <w:shd w:val="clear" w:color="auto" w:fill="auto"/>
            <w:vAlign w:val="center"/>
          </w:tcPr>
          <w:p>
            <w:pPr>
              <w:pStyle w:val="44"/>
              <w:jc w:val="left"/>
              <w:rPr>
                <w:b w:val="0"/>
                <w:szCs w:val="24"/>
              </w:rPr>
            </w:pPr>
            <w:r>
              <w:rPr>
                <w:rFonts w:hint="eastAsia"/>
                <w:b w:val="0"/>
                <w:szCs w:val="24"/>
              </w:rPr>
              <w:t>车站现场设备（</w:t>
            </w:r>
            <w:r>
              <w:rPr>
                <w:b w:val="0"/>
                <w:szCs w:val="24"/>
              </w:rPr>
              <w:t>Station Level Equipment</w:t>
            </w:r>
            <w:r>
              <w:rPr>
                <w:rFonts w:hint="eastAsia"/>
                <w:b w:val="0"/>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1040" w:type="dxa"/>
            <w:shd w:val="clear" w:color="auto" w:fill="auto"/>
            <w:vAlign w:val="center"/>
          </w:tcPr>
          <w:p>
            <w:pPr>
              <w:pStyle w:val="44"/>
              <w:rPr>
                <w:szCs w:val="24"/>
              </w:rPr>
            </w:pPr>
            <w:r>
              <w:rPr>
                <w:szCs w:val="24"/>
              </w:rPr>
              <w:t>11</w:t>
            </w:r>
          </w:p>
        </w:tc>
        <w:tc>
          <w:tcPr>
            <w:tcW w:w="1376" w:type="dxa"/>
            <w:shd w:val="clear" w:color="auto" w:fill="auto"/>
            <w:vAlign w:val="center"/>
          </w:tcPr>
          <w:p>
            <w:pPr>
              <w:pStyle w:val="44"/>
              <w:rPr>
                <w:b w:val="0"/>
                <w:szCs w:val="24"/>
              </w:rPr>
            </w:pPr>
            <w:r>
              <w:rPr>
                <w:b w:val="0"/>
                <w:szCs w:val="24"/>
              </w:rPr>
              <w:t>SVT</w:t>
            </w:r>
          </w:p>
        </w:tc>
        <w:tc>
          <w:tcPr>
            <w:tcW w:w="5963" w:type="dxa"/>
            <w:shd w:val="clear" w:color="auto" w:fill="auto"/>
            <w:vAlign w:val="center"/>
          </w:tcPr>
          <w:p>
            <w:pPr>
              <w:pStyle w:val="44"/>
              <w:jc w:val="left"/>
              <w:rPr>
                <w:b w:val="0"/>
                <w:szCs w:val="24"/>
              </w:rPr>
            </w:pPr>
            <w:r>
              <w:rPr>
                <w:rFonts w:hint="eastAsia"/>
                <w:b w:val="0"/>
                <w:szCs w:val="24"/>
              </w:rPr>
              <w:t>储值票（</w:t>
            </w:r>
            <w:r>
              <w:rPr>
                <w:b w:val="0"/>
                <w:szCs w:val="24"/>
              </w:rPr>
              <w:t xml:space="preserve">Store Value Ticket </w:t>
            </w:r>
            <w:r>
              <w:rPr>
                <w:rFonts w:hint="eastAsia"/>
                <w:b w:val="0"/>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1040" w:type="dxa"/>
            <w:shd w:val="clear" w:color="auto" w:fill="auto"/>
            <w:vAlign w:val="center"/>
          </w:tcPr>
          <w:p>
            <w:pPr>
              <w:pStyle w:val="44"/>
              <w:rPr>
                <w:szCs w:val="24"/>
              </w:rPr>
            </w:pPr>
            <w:r>
              <w:rPr>
                <w:szCs w:val="24"/>
              </w:rPr>
              <w:t>12</w:t>
            </w:r>
          </w:p>
        </w:tc>
        <w:tc>
          <w:tcPr>
            <w:tcW w:w="1376" w:type="dxa"/>
            <w:shd w:val="clear" w:color="auto" w:fill="auto"/>
            <w:vAlign w:val="center"/>
          </w:tcPr>
          <w:p>
            <w:pPr>
              <w:pStyle w:val="44"/>
              <w:rPr>
                <w:b w:val="0"/>
                <w:szCs w:val="24"/>
              </w:rPr>
            </w:pPr>
            <w:r>
              <w:rPr>
                <w:b w:val="0"/>
                <w:szCs w:val="24"/>
              </w:rPr>
              <w:t>TCT</w:t>
            </w:r>
          </w:p>
        </w:tc>
        <w:tc>
          <w:tcPr>
            <w:tcW w:w="5963" w:type="dxa"/>
            <w:shd w:val="clear" w:color="auto" w:fill="auto"/>
            <w:vAlign w:val="center"/>
          </w:tcPr>
          <w:p>
            <w:pPr>
              <w:pStyle w:val="44"/>
              <w:jc w:val="left"/>
              <w:rPr>
                <w:b w:val="0"/>
                <w:szCs w:val="24"/>
              </w:rPr>
            </w:pPr>
            <w:r>
              <w:rPr>
                <w:rFonts w:hint="eastAsia"/>
                <w:b w:val="0"/>
                <w:szCs w:val="24"/>
              </w:rPr>
              <w:t>乘次票（</w:t>
            </w:r>
            <w:r>
              <w:rPr>
                <w:b w:val="0"/>
                <w:szCs w:val="24"/>
              </w:rPr>
              <w:t xml:space="preserve">Trip Count Ticket </w:t>
            </w:r>
            <w:r>
              <w:rPr>
                <w:rFonts w:hint="eastAsia"/>
                <w:b w:val="0"/>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1040" w:type="dxa"/>
            <w:shd w:val="clear" w:color="auto" w:fill="auto"/>
            <w:vAlign w:val="center"/>
          </w:tcPr>
          <w:p>
            <w:pPr>
              <w:pStyle w:val="44"/>
              <w:rPr>
                <w:szCs w:val="24"/>
              </w:rPr>
            </w:pPr>
            <w:r>
              <w:rPr>
                <w:szCs w:val="24"/>
              </w:rPr>
              <w:t>13</w:t>
            </w:r>
          </w:p>
        </w:tc>
        <w:tc>
          <w:tcPr>
            <w:tcW w:w="1376" w:type="dxa"/>
            <w:shd w:val="clear" w:color="auto" w:fill="auto"/>
            <w:vAlign w:val="center"/>
          </w:tcPr>
          <w:p>
            <w:pPr>
              <w:pStyle w:val="44"/>
              <w:rPr>
                <w:b w:val="0"/>
                <w:szCs w:val="24"/>
              </w:rPr>
            </w:pPr>
            <w:r>
              <w:rPr>
                <w:b w:val="0"/>
                <w:szCs w:val="24"/>
              </w:rPr>
              <w:t>TOKEN</w:t>
            </w:r>
          </w:p>
        </w:tc>
        <w:tc>
          <w:tcPr>
            <w:tcW w:w="5963" w:type="dxa"/>
            <w:shd w:val="clear" w:color="auto" w:fill="auto"/>
            <w:vAlign w:val="center"/>
          </w:tcPr>
          <w:p>
            <w:pPr>
              <w:pStyle w:val="44"/>
              <w:jc w:val="left"/>
              <w:rPr>
                <w:b w:val="0"/>
                <w:szCs w:val="24"/>
              </w:rPr>
            </w:pPr>
            <w:r>
              <w:rPr>
                <w:rFonts w:hint="eastAsia"/>
                <w:b w:val="0"/>
                <w:szCs w:val="24"/>
              </w:rPr>
              <w:t>简易非接触式</w:t>
            </w:r>
            <w:r>
              <w:rPr>
                <w:b w:val="0"/>
                <w:szCs w:val="24"/>
              </w:rPr>
              <w:t>IC</w:t>
            </w:r>
            <w:r>
              <w:rPr>
                <w:rFonts w:hint="eastAsia"/>
                <w:b w:val="0"/>
                <w:szCs w:val="24"/>
              </w:rPr>
              <w:t>卡单程票（</w:t>
            </w:r>
            <w:r>
              <w:rPr>
                <w:b w:val="0"/>
                <w:szCs w:val="24"/>
              </w:rPr>
              <w:t>Simplified CSC SJT</w:t>
            </w:r>
            <w:r>
              <w:rPr>
                <w:rFonts w:hint="eastAsia"/>
                <w:b w:val="0"/>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1040" w:type="dxa"/>
            <w:shd w:val="clear" w:color="auto" w:fill="auto"/>
            <w:vAlign w:val="center"/>
          </w:tcPr>
          <w:p>
            <w:pPr>
              <w:pStyle w:val="44"/>
              <w:rPr>
                <w:szCs w:val="24"/>
              </w:rPr>
            </w:pPr>
            <w:r>
              <w:rPr>
                <w:szCs w:val="24"/>
              </w:rPr>
              <w:t>14</w:t>
            </w:r>
          </w:p>
        </w:tc>
        <w:tc>
          <w:tcPr>
            <w:tcW w:w="1376" w:type="dxa"/>
            <w:shd w:val="clear" w:color="auto" w:fill="auto"/>
            <w:vAlign w:val="center"/>
          </w:tcPr>
          <w:p>
            <w:pPr>
              <w:pStyle w:val="44"/>
              <w:rPr>
                <w:b w:val="0"/>
                <w:szCs w:val="24"/>
              </w:rPr>
            </w:pPr>
            <w:r>
              <w:rPr>
                <w:b w:val="0"/>
                <w:szCs w:val="24"/>
              </w:rPr>
              <w:t>TVM</w:t>
            </w:r>
          </w:p>
        </w:tc>
        <w:tc>
          <w:tcPr>
            <w:tcW w:w="5963" w:type="dxa"/>
            <w:shd w:val="clear" w:color="auto" w:fill="auto"/>
            <w:vAlign w:val="center"/>
          </w:tcPr>
          <w:p>
            <w:pPr>
              <w:pStyle w:val="44"/>
              <w:jc w:val="left"/>
              <w:rPr>
                <w:b w:val="0"/>
                <w:szCs w:val="24"/>
              </w:rPr>
            </w:pPr>
            <w:r>
              <w:rPr>
                <w:rFonts w:hint="eastAsia"/>
                <w:b w:val="0"/>
                <w:szCs w:val="24"/>
              </w:rPr>
              <w:t>自动售票机（</w:t>
            </w:r>
            <w:r>
              <w:rPr>
                <w:b w:val="0"/>
                <w:szCs w:val="24"/>
              </w:rPr>
              <w:t>Ticket Vending Machine</w:t>
            </w:r>
            <w:r>
              <w:rPr>
                <w:rFonts w:hint="eastAsia"/>
                <w:b w:val="0"/>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1040" w:type="dxa"/>
            <w:shd w:val="clear" w:color="auto" w:fill="auto"/>
            <w:vAlign w:val="center"/>
          </w:tcPr>
          <w:p>
            <w:pPr>
              <w:pStyle w:val="44"/>
              <w:rPr>
                <w:szCs w:val="24"/>
              </w:rPr>
            </w:pPr>
            <w:r>
              <w:rPr>
                <w:szCs w:val="24"/>
              </w:rPr>
              <w:t>1</w:t>
            </w:r>
            <w:r>
              <w:rPr>
                <w:rFonts w:hint="eastAsia"/>
                <w:szCs w:val="24"/>
              </w:rPr>
              <w:t>5</w:t>
            </w:r>
          </w:p>
        </w:tc>
        <w:tc>
          <w:tcPr>
            <w:tcW w:w="1376" w:type="dxa"/>
            <w:shd w:val="clear" w:color="auto" w:fill="auto"/>
            <w:vAlign w:val="center"/>
          </w:tcPr>
          <w:p>
            <w:pPr>
              <w:pStyle w:val="44"/>
              <w:rPr>
                <w:b w:val="0"/>
                <w:szCs w:val="24"/>
              </w:rPr>
            </w:pPr>
            <w:r>
              <w:rPr>
                <w:b w:val="0"/>
                <w:szCs w:val="24"/>
              </w:rPr>
              <w:t>APP</w:t>
            </w:r>
          </w:p>
        </w:tc>
        <w:tc>
          <w:tcPr>
            <w:tcW w:w="5963" w:type="dxa"/>
            <w:shd w:val="clear" w:color="auto" w:fill="auto"/>
            <w:vAlign w:val="center"/>
          </w:tcPr>
          <w:p>
            <w:pPr>
              <w:pStyle w:val="44"/>
              <w:jc w:val="left"/>
              <w:rPr>
                <w:b w:val="0"/>
                <w:szCs w:val="24"/>
              </w:rPr>
            </w:pPr>
            <w:r>
              <w:rPr>
                <w:rFonts w:hint="eastAsia"/>
                <w:b w:val="0"/>
                <w:szCs w:val="24"/>
              </w:rPr>
              <w:t>应用程序（</w:t>
            </w:r>
            <w:r>
              <w:rPr>
                <w:b w:val="0"/>
                <w:szCs w:val="24"/>
              </w:rPr>
              <w:t>Application</w:t>
            </w:r>
            <w:r>
              <w:rPr>
                <w:rFonts w:hint="eastAsia"/>
                <w:b w:val="0"/>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1040" w:type="dxa"/>
            <w:shd w:val="clear" w:color="auto" w:fill="auto"/>
            <w:vAlign w:val="center"/>
          </w:tcPr>
          <w:p>
            <w:pPr>
              <w:pStyle w:val="44"/>
              <w:rPr>
                <w:szCs w:val="24"/>
              </w:rPr>
            </w:pPr>
            <w:r>
              <w:rPr>
                <w:szCs w:val="24"/>
              </w:rPr>
              <w:t>1</w:t>
            </w:r>
            <w:r>
              <w:rPr>
                <w:rFonts w:hint="eastAsia"/>
                <w:szCs w:val="24"/>
              </w:rPr>
              <w:t>6</w:t>
            </w:r>
          </w:p>
        </w:tc>
        <w:tc>
          <w:tcPr>
            <w:tcW w:w="1376" w:type="dxa"/>
            <w:shd w:val="clear" w:color="auto" w:fill="auto"/>
            <w:vAlign w:val="center"/>
          </w:tcPr>
          <w:p>
            <w:pPr>
              <w:pStyle w:val="44"/>
              <w:rPr>
                <w:b w:val="0"/>
                <w:szCs w:val="24"/>
              </w:rPr>
            </w:pPr>
            <w:r>
              <w:rPr>
                <w:b w:val="0"/>
                <w:szCs w:val="24"/>
              </w:rPr>
              <w:t>J2EE</w:t>
            </w:r>
          </w:p>
        </w:tc>
        <w:tc>
          <w:tcPr>
            <w:tcW w:w="5963" w:type="dxa"/>
            <w:shd w:val="clear" w:color="auto" w:fill="auto"/>
            <w:vAlign w:val="center"/>
          </w:tcPr>
          <w:p>
            <w:pPr>
              <w:pStyle w:val="44"/>
              <w:jc w:val="left"/>
              <w:rPr>
                <w:b w:val="0"/>
                <w:szCs w:val="24"/>
              </w:rPr>
            </w:pPr>
            <w:r>
              <w:rPr>
                <w:b w:val="0"/>
                <w:szCs w:val="24"/>
              </w:rPr>
              <w:t>Java2</w:t>
            </w:r>
            <w:r>
              <w:rPr>
                <w:rFonts w:hint="eastAsia"/>
                <w:b w:val="0"/>
                <w:szCs w:val="24"/>
              </w:rPr>
              <w:t>平台企业版（</w:t>
            </w:r>
            <w:r>
              <w:rPr>
                <w:b w:val="0"/>
                <w:szCs w:val="24"/>
              </w:rPr>
              <w:t>Java 2 Platform Enterprise Edition</w:t>
            </w:r>
            <w:r>
              <w:rPr>
                <w:rFonts w:hint="eastAsia"/>
                <w:b w:val="0"/>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80" w:hRule="atLeast"/>
          <w:jc w:val="center"/>
        </w:trPr>
        <w:tc>
          <w:tcPr>
            <w:tcW w:w="1040" w:type="dxa"/>
            <w:shd w:val="clear" w:color="auto" w:fill="auto"/>
            <w:vAlign w:val="center"/>
          </w:tcPr>
          <w:p>
            <w:pPr>
              <w:pStyle w:val="44"/>
              <w:rPr>
                <w:szCs w:val="24"/>
              </w:rPr>
            </w:pPr>
            <w:r>
              <w:rPr>
                <w:szCs w:val="24"/>
              </w:rPr>
              <w:t>1</w:t>
            </w:r>
            <w:r>
              <w:rPr>
                <w:rFonts w:hint="eastAsia"/>
                <w:szCs w:val="24"/>
              </w:rPr>
              <w:t>7</w:t>
            </w:r>
          </w:p>
        </w:tc>
        <w:tc>
          <w:tcPr>
            <w:tcW w:w="1376" w:type="dxa"/>
            <w:shd w:val="clear" w:color="auto" w:fill="auto"/>
            <w:vAlign w:val="center"/>
          </w:tcPr>
          <w:p>
            <w:pPr>
              <w:pStyle w:val="44"/>
              <w:rPr>
                <w:b w:val="0"/>
                <w:szCs w:val="24"/>
              </w:rPr>
            </w:pPr>
            <w:r>
              <w:rPr>
                <w:b w:val="0"/>
                <w:szCs w:val="24"/>
              </w:rPr>
              <w:t>HTML5/H5</w:t>
            </w:r>
          </w:p>
        </w:tc>
        <w:tc>
          <w:tcPr>
            <w:tcW w:w="5963" w:type="dxa"/>
            <w:shd w:val="clear" w:color="auto" w:fill="auto"/>
            <w:vAlign w:val="center"/>
          </w:tcPr>
          <w:p>
            <w:pPr>
              <w:pStyle w:val="44"/>
              <w:jc w:val="left"/>
              <w:rPr>
                <w:b w:val="0"/>
                <w:szCs w:val="24"/>
              </w:rPr>
            </w:pPr>
            <w:r>
              <w:rPr>
                <w:rFonts w:hint="eastAsia"/>
                <w:b w:val="0"/>
                <w:szCs w:val="24"/>
              </w:rPr>
              <w:t>超文本标记语言</w:t>
            </w:r>
            <w:r>
              <w:rPr>
                <w:b w:val="0"/>
                <w:szCs w:val="24"/>
              </w:rPr>
              <w:t>(HyperText Markup Language)</w:t>
            </w:r>
            <w:r>
              <w:rPr>
                <w:rFonts w:hint="eastAsia"/>
                <w:b w:val="0"/>
                <w:szCs w:val="24"/>
              </w:rPr>
              <w:t>第</w:t>
            </w:r>
            <w:r>
              <w:rPr>
                <w:b w:val="0"/>
                <w:szCs w:val="24"/>
              </w:rPr>
              <w:t>5</w:t>
            </w:r>
            <w:r>
              <w:rPr>
                <w:rFonts w:hint="eastAsia"/>
                <w:b w:val="0"/>
                <w:szCs w:val="24"/>
              </w:rPr>
              <w:t>次重大改版，简称</w:t>
            </w:r>
            <w:r>
              <w:rPr>
                <w:b w:val="0"/>
                <w:szCs w:val="24"/>
              </w:rPr>
              <w:t>H5</w:t>
            </w:r>
            <w:r>
              <w:rPr>
                <w:rFonts w:hint="eastAsia"/>
                <w:b w:val="0"/>
                <w:szCs w:val="24"/>
              </w:rPr>
              <w:t>，</w:t>
            </w:r>
            <w:r>
              <w:rPr>
                <w:b w:val="0"/>
                <w:szCs w:val="24"/>
              </w:rPr>
              <w:t>HTML5</w:t>
            </w:r>
            <w:r>
              <w:rPr>
                <w:rFonts w:hint="eastAsia"/>
                <w:b w:val="0"/>
                <w:szCs w:val="24"/>
              </w:rPr>
              <w:t>的设计目的是为了在移动设备上支持多媒体</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1040" w:type="dxa"/>
            <w:shd w:val="clear" w:color="auto" w:fill="auto"/>
            <w:vAlign w:val="center"/>
          </w:tcPr>
          <w:p>
            <w:pPr>
              <w:pStyle w:val="44"/>
              <w:rPr>
                <w:szCs w:val="24"/>
              </w:rPr>
            </w:pPr>
            <w:r>
              <w:rPr>
                <w:szCs w:val="24"/>
              </w:rPr>
              <w:t>1</w:t>
            </w:r>
            <w:r>
              <w:rPr>
                <w:rFonts w:hint="eastAsia"/>
                <w:szCs w:val="24"/>
              </w:rPr>
              <w:t>8</w:t>
            </w:r>
          </w:p>
        </w:tc>
        <w:tc>
          <w:tcPr>
            <w:tcW w:w="1376" w:type="dxa"/>
            <w:shd w:val="clear" w:color="auto" w:fill="auto"/>
            <w:vAlign w:val="center"/>
          </w:tcPr>
          <w:p>
            <w:pPr>
              <w:pStyle w:val="44"/>
              <w:rPr>
                <w:b w:val="0"/>
                <w:szCs w:val="24"/>
              </w:rPr>
            </w:pPr>
            <w:r>
              <w:rPr>
                <w:b w:val="0"/>
                <w:szCs w:val="24"/>
              </w:rPr>
              <w:t>SOCKET</w:t>
            </w:r>
          </w:p>
        </w:tc>
        <w:tc>
          <w:tcPr>
            <w:tcW w:w="5963" w:type="dxa"/>
            <w:shd w:val="clear" w:color="auto" w:fill="auto"/>
            <w:vAlign w:val="center"/>
          </w:tcPr>
          <w:p>
            <w:pPr>
              <w:pStyle w:val="44"/>
              <w:jc w:val="left"/>
              <w:rPr>
                <w:b w:val="0"/>
                <w:szCs w:val="24"/>
              </w:rPr>
            </w:pPr>
            <w:r>
              <w:rPr>
                <w:rFonts w:hint="eastAsia"/>
                <w:b w:val="0"/>
                <w:szCs w:val="24"/>
              </w:rPr>
              <w:t>又称</w:t>
            </w:r>
            <w:r>
              <w:rPr>
                <w:b w:val="0"/>
                <w:szCs w:val="24"/>
              </w:rPr>
              <w:t>"</w:t>
            </w:r>
            <w:r>
              <w:rPr>
                <w:rFonts w:hint="eastAsia"/>
                <w:b w:val="0"/>
                <w:szCs w:val="24"/>
              </w:rPr>
              <w:t>套接字</w:t>
            </w:r>
            <w:r>
              <w:rPr>
                <w:b w:val="0"/>
                <w:szCs w:val="24"/>
              </w:rPr>
              <w:t>"</w:t>
            </w:r>
            <w:r>
              <w:rPr>
                <w:rFonts w:hint="eastAsia"/>
                <w:b w:val="0"/>
                <w:szCs w:val="24"/>
              </w:rPr>
              <w:t>，应用程序通常通过</w:t>
            </w:r>
            <w:r>
              <w:rPr>
                <w:b w:val="0"/>
                <w:szCs w:val="24"/>
              </w:rPr>
              <w:t>"</w:t>
            </w:r>
            <w:r>
              <w:rPr>
                <w:rFonts w:hint="eastAsia"/>
                <w:b w:val="0"/>
                <w:szCs w:val="24"/>
              </w:rPr>
              <w:t>套接字</w:t>
            </w:r>
            <w:r>
              <w:rPr>
                <w:b w:val="0"/>
                <w:szCs w:val="24"/>
              </w:rPr>
              <w:t>"</w:t>
            </w:r>
            <w:r>
              <w:rPr>
                <w:rFonts w:hint="eastAsia"/>
                <w:b w:val="0"/>
                <w:szCs w:val="24"/>
              </w:rPr>
              <w:t>向网络发出请求或者应答网络请求</w:t>
            </w:r>
          </w:p>
        </w:tc>
      </w:tr>
    </w:tbl>
    <w:p>
      <w:pPr>
        <w:spacing w:after="156"/>
      </w:pPr>
    </w:p>
    <w:p>
      <w:pPr>
        <w:pStyle w:val="3"/>
      </w:pPr>
      <w:bookmarkStart w:id="8" w:name="_Toc503218071"/>
      <w:bookmarkStart w:id="9" w:name="_Toc5467"/>
      <w:r>
        <w:rPr>
          <w:rFonts w:hint="eastAsia"/>
        </w:rPr>
        <w:t>主要技术规范及标准</w:t>
      </w:r>
      <w:bookmarkEnd w:id="8"/>
      <w:bookmarkEnd w:id="9"/>
    </w:p>
    <w:p>
      <w:pPr>
        <w:pStyle w:val="41"/>
        <w:numPr>
          <w:ilvl w:val="0"/>
          <w:numId w:val="9"/>
        </w:numPr>
        <w:spacing w:line="360" w:lineRule="auto"/>
        <w:ind w:left="533"/>
        <w:rPr>
          <w:szCs w:val="24"/>
        </w:rPr>
      </w:pPr>
      <w:r>
        <w:rPr>
          <w:rFonts w:hint="eastAsia"/>
          <w:szCs w:val="24"/>
        </w:rPr>
        <w:t>《地铁设计规范》GB50157-2013；</w:t>
      </w:r>
    </w:p>
    <w:p>
      <w:pPr>
        <w:pStyle w:val="41"/>
        <w:numPr>
          <w:ilvl w:val="0"/>
          <w:numId w:val="9"/>
        </w:numPr>
        <w:spacing w:line="360" w:lineRule="auto"/>
        <w:ind w:left="533"/>
        <w:rPr>
          <w:szCs w:val="24"/>
        </w:rPr>
      </w:pPr>
      <w:r>
        <w:rPr>
          <w:rFonts w:hint="eastAsia"/>
          <w:szCs w:val="24"/>
        </w:rPr>
        <w:t>《城市轨道交通技术规范》</w:t>
      </w:r>
      <w:r>
        <w:rPr>
          <w:szCs w:val="24"/>
        </w:rPr>
        <w:t>GB50490-2009</w:t>
      </w:r>
      <w:r>
        <w:rPr>
          <w:rFonts w:hint="eastAsia"/>
          <w:szCs w:val="24"/>
        </w:rPr>
        <w:t>；</w:t>
      </w:r>
    </w:p>
    <w:p>
      <w:pPr>
        <w:pStyle w:val="41"/>
        <w:numPr>
          <w:ilvl w:val="0"/>
          <w:numId w:val="9"/>
        </w:numPr>
        <w:spacing w:line="360" w:lineRule="auto"/>
        <w:ind w:left="533"/>
        <w:rPr>
          <w:szCs w:val="24"/>
        </w:rPr>
      </w:pPr>
      <w:r>
        <w:rPr>
          <w:rFonts w:hint="eastAsia"/>
          <w:szCs w:val="24"/>
        </w:rPr>
        <w:t>《城市轨道交通工程项目建设标准》建标</w:t>
      </w:r>
      <w:r>
        <w:rPr>
          <w:szCs w:val="24"/>
        </w:rPr>
        <w:t>104-2008</w:t>
      </w:r>
      <w:r>
        <w:rPr>
          <w:rFonts w:hint="eastAsia"/>
          <w:szCs w:val="24"/>
        </w:rPr>
        <w:t>；</w:t>
      </w:r>
    </w:p>
    <w:p>
      <w:pPr>
        <w:pStyle w:val="41"/>
        <w:numPr>
          <w:ilvl w:val="0"/>
          <w:numId w:val="9"/>
        </w:numPr>
        <w:spacing w:line="360" w:lineRule="auto"/>
        <w:ind w:left="533"/>
        <w:rPr>
          <w:szCs w:val="24"/>
        </w:rPr>
      </w:pPr>
      <w:r>
        <w:rPr>
          <w:rFonts w:hint="eastAsia"/>
          <w:szCs w:val="24"/>
        </w:rPr>
        <w:t>《城市轨道交通自动售检票系统工程质量验收规范》</w:t>
      </w:r>
      <w:r>
        <w:rPr>
          <w:szCs w:val="24"/>
        </w:rPr>
        <w:t>GB50381-2010</w:t>
      </w:r>
      <w:r>
        <w:rPr>
          <w:rFonts w:hint="eastAsia"/>
          <w:szCs w:val="24"/>
        </w:rPr>
        <w:t>；</w:t>
      </w:r>
    </w:p>
    <w:p>
      <w:pPr>
        <w:pStyle w:val="41"/>
        <w:numPr>
          <w:ilvl w:val="0"/>
          <w:numId w:val="9"/>
        </w:numPr>
        <w:spacing w:line="360" w:lineRule="auto"/>
        <w:ind w:left="533"/>
        <w:rPr>
          <w:szCs w:val="24"/>
        </w:rPr>
      </w:pPr>
      <w:r>
        <w:rPr>
          <w:rFonts w:hint="eastAsia"/>
          <w:szCs w:val="24"/>
        </w:rPr>
        <w:t>《城市轨道交通自动售检票系统技术条件》</w:t>
      </w:r>
      <w:r>
        <w:rPr>
          <w:szCs w:val="24"/>
        </w:rPr>
        <w:t>GB/T 20907-2007</w:t>
      </w:r>
      <w:r>
        <w:rPr>
          <w:rFonts w:hint="eastAsia"/>
          <w:szCs w:val="24"/>
        </w:rPr>
        <w:t>；</w:t>
      </w:r>
    </w:p>
    <w:p>
      <w:pPr>
        <w:pStyle w:val="112"/>
        <w:numPr>
          <w:ilvl w:val="0"/>
          <w:numId w:val="9"/>
        </w:numPr>
        <w:spacing w:after="156" w:line="360" w:lineRule="auto"/>
        <w:ind w:left="533" w:firstLineChars="0"/>
      </w:pPr>
      <w:r>
        <w:rPr>
          <w:rFonts w:hint="eastAsia" w:ascii="Times New Roman" w:hAnsi="Times New Roman" w:eastAsia="宋体" w:cs="宋体"/>
        </w:rPr>
        <w:t>《城市轨道交通设计规范》</w:t>
      </w:r>
      <w:r>
        <w:rPr>
          <w:rFonts w:ascii="Times New Roman" w:hAnsi="Times New Roman" w:eastAsia="宋体" w:cs="宋体"/>
        </w:rPr>
        <w:t>DG108-109-2004</w:t>
      </w:r>
      <w:r>
        <w:rPr>
          <w:rFonts w:hint="eastAsia"/>
        </w:rPr>
        <w:t>；</w:t>
      </w:r>
    </w:p>
    <w:p>
      <w:pPr>
        <w:pStyle w:val="112"/>
        <w:numPr>
          <w:ilvl w:val="0"/>
          <w:numId w:val="9"/>
        </w:numPr>
        <w:spacing w:after="156" w:line="360" w:lineRule="auto"/>
        <w:ind w:left="533" w:firstLineChars="0"/>
      </w:pPr>
      <w:r>
        <w:rPr>
          <w:rFonts w:hint="eastAsia" w:ascii="Times New Roman" w:hAnsi="Times New Roman" w:eastAsia="宋体" w:cs="宋体"/>
        </w:rPr>
        <w:t>《信息安全技术信息系统安全等级保护基本要求》GB/T22239-2008</w:t>
      </w:r>
      <w:r>
        <w:rPr>
          <w:rFonts w:hint="eastAsia"/>
        </w:rPr>
        <w:t>；</w:t>
      </w:r>
    </w:p>
    <w:p>
      <w:pPr>
        <w:pStyle w:val="41"/>
        <w:numPr>
          <w:ilvl w:val="0"/>
          <w:numId w:val="9"/>
        </w:numPr>
        <w:spacing w:line="360" w:lineRule="auto"/>
        <w:ind w:left="533"/>
        <w:rPr>
          <w:szCs w:val="24"/>
        </w:rPr>
      </w:pPr>
      <w:r>
        <w:rPr>
          <w:rFonts w:hint="eastAsia"/>
          <w:szCs w:val="24"/>
        </w:rPr>
        <w:t>《电磁辐射环境保护管理办法》（国家环保局第</w:t>
      </w:r>
      <w:r>
        <w:rPr>
          <w:szCs w:val="24"/>
        </w:rPr>
        <w:t>18</w:t>
      </w:r>
      <w:r>
        <w:rPr>
          <w:rFonts w:hint="eastAsia"/>
          <w:szCs w:val="24"/>
        </w:rPr>
        <w:t>号令）；</w:t>
      </w:r>
    </w:p>
    <w:p>
      <w:pPr>
        <w:pStyle w:val="41"/>
        <w:numPr>
          <w:ilvl w:val="0"/>
          <w:numId w:val="9"/>
        </w:numPr>
        <w:spacing w:line="360" w:lineRule="auto"/>
        <w:ind w:left="533"/>
        <w:rPr>
          <w:szCs w:val="24"/>
        </w:rPr>
      </w:pPr>
      <w:r>
        <w:rPr>
          <w:rFonts w:hint="eastAsia"/>
          <w:szCs w:val="24"/>
        </w:rPr>
        <w:t>《信息技术设备的无线电干扰极限值和测量方法》</w:t>
      </w:r>
      <w:r>
        <w:rPr>
          <w:szCs w:val="24"/>
        </w:rPr>
        <w:t>GB9254-1998</w:t>
      </w:r>
      <w:r>
        <w:rPr>
          <w:rFonts w:hint="eastAsia"/>
          <w:szCs w:val="24"/>
        </w:rPr>
        <w:t>；</w:t>
      </w:r>
    </w:p>
    <w:p>
      <w:pPr>
        <w:pStyle w:val="41"/>
        <w:numPr>
          <w:ilvl w:val="0"/>
          <w:numId w:val="9"/>
        </w:numPr>
        <w:spacing w:line="360" w:lineRule="auto"/>
        <w:ind w:left="533"/>
        <w:rPr>
          <w:szCs w:val="24"/>
        </w:rPr>
      </w:pPr>
      <w:r>
        <w:rPr>
          <w:rFonts w:hint="eastAsia"/>
          <w:szCs w:val="24"/>
        </w:rPr>
        <w:t>《电磁兼容试验和测试技术》</w:t>
      </w:r>
      <w:r>
        <w:rPr>
          <w:szCs w:val="24"/>
        </w:rPr>
        <w:t>GB/T 17626-1998</w:t>
      </w:r>
      <w:r>
        <w:rPr>
          <w:rFonts w:hint="eastAsia"/>
          <w:szCs w:val="24"/>
        </w:rPr>
        <w:t>；</w:t>
      </w:r>
    </w:p>
    <w:p>
      <w:pPr>
        <w:pStyle w:val="41"/>
        <w:numPr>
          <w:ilvl w:val="0"/>
          <w:numId w:val="9"/>
        </w:numPr>
        <w:spacing w:line="360" w:lineRule="auto"/>
        <w:ind w:left="533"/>
        <w:rPr>
          <w:szCs w:val="24"/>
        </w:rPr>
      </w:pPr>
      <w:r>
        <w:rPr>
          <w:rFonts w:hint="eastAsia"/>
          <w:szCs w:val="24"/>
        </w:rPr>
        <w:t>《工业控制用软件评定准则》</w:t>
      </w:r>
      <w:r>
        <w:rPr>
          <w:szCs w:val="24"/>
        </w:rPr>
        <w:t>GB/T 13423-1992</w:t>
      </w:r>
      <w:r>
        <w:rPr>
          <w:rFonts w:hint="eastAsia"/>
          <w:szCs w:val="24"/>
        </w:rPr>
        <w:t>；</w:t>
      </w:r>
    </w:p>
    <w:p>
      <w:pPr>
        <w:pStyle w:val="41"/>
        <w:numPr>
          <w:ilvl w:val="0"/>
          <w:numId w:val="9"/>
        </w:numPr>
        <w:spacing w:line="360" w:lineRule="auto"/>
        <w:ind w:left="533"/>
        <w:rPr>
          <w:szCs w:val="24"/>
        </w:rPr>
      </w:pPr>
      <w:r>
        <w:rPr>
          <w:rFonts w:hint="eastAsia"/>
        </w:rPr>
        <w:t>《软件开发规范》</w:t>
      </w:r>
      <w:r>
        <w:t>GB856-88</w:t>
      </w:r>
    </w:p>
    <w:p>
      <w:pPr>
        <w:pStyle w:val="41"/>
        <w:numPr>
          <w:ilvl w:val="0"/>
          <w:numId w:val="9"/>
        </w:numPr>
        <w:spacing w:line="360" w:lineRule="auto"/>
        <w:ind w:left="533"/>
        <w:rPr>
          <w:szCs w:val="24"/>
        </w:rPr>
      </w:pPr>
      <w:r>
        <w:rPr>
          <w:rFonts w:hint="eastAsia"/>
          <w:szCs w:val="24"/>
        </w:rPr>
        <w:t>《电子信息系统机房设计规范》</w:t>
      </w:r>
      <w:r>
        <w:rPr>
          <w:szCs w:val="24"/>
        </w:rPr>
        <w:t>GB50174-2008</w:t>
      </w:r>
      <w:r>
        <w:rPr>
          <w:rFonts w:hint="eastAsia"/>
          <w:szCs w:val="24"/>
        </w:rPr>
        <w:t>；</w:t>
      </w:r>
    </w:p>
    <w:p>
      <w:pPr>
        <w:pStyle w:val="112"/>
        <w:numPr>
          <w:ilvl w:val="0"/>
          <w:numId w:val="9"/>
        </w:numPr>
        <w:spacing w:after="156" w:line="360" w:lineRule="auto"/>
        <w:ind w:left="533" w:firstLineChars="0"/>
      </w:pPr>
      <w:r>
        <w:rPr>
          <w:rFonts w:hint="eastAsia"/>
        </w:rPr>
        <w:t xml:space="preserve"> 遵循二维码支付交通部相关技术标准。</w:t>
      </w:r>
    </w:p>
    <w:p>
      <w:pPr>
        <w:pStyle w:val="112"/>
        <w:numPr>
          <w:ilvl w:val="0"/>
          <w:numId w:val="9"/>
        </w:numPr>
        <w:spacing w:after="156" w:line="360" w:lineRule="auto"/>
        <w:ind w:left="533" w:firstLineChars="0"/>
      </w:pPr>
      <w:r>
        <w:rPr>
          <w:rFonts w:hint="eastAsia"/>
        </w:rPr>
        <w:t xml:space="preserve"> 国家现行的其它有关法规及规范。</w:t>
      </w:r>
    </w:p>
    <w:p>
      <w:pPr>
        <w:pStyle w:val="41"/>
        <w:ind w:firstLine="0"/>
        <w:rPr>
          <w:szCs w:val="24"/>
        </w:rPr>
      </w:pPr>
    </w:p>
    <w:p>
      <w:pPr>
        <w:pStyle w:val="2"/>
      </w:pPr>
      <w:bookmarkStart w:id="10" w:name="_Toc4106"/>
      <w:r>
        <w:rPr>
          <w:rFonts w:hint="eastAsia"/>
        </w:rPr>
        <w:t>项目范围</w:t>
      </w:r>
      <w:bookmarkEnd w:id="10"/>
    </w:p>
    <w:p>
      <w:pPr>
        <w:pStyle w:val="53"/>
        <w:numPr>
          <w:ilvl w:val="0"/>
          <w:numId w:val="10"/>
        </w:numPr>
        <w:spacing w:after="120" w:line="360" w:lineRule="auto"/>
        <w:ind w:left="357" w:firstLine="69" w:firstLineChars="0"/>
      </w:pPr>
      <w:r>
        <w:rPr>
          <w:rFonts w:hint="eastAsia"/>
        </w:rPr>
        <w:t>在ACC建立多元化支付平台；</w:t>
      </w:r>
    </w:p>
    <w:p>
      <w:pPr>
        <w:pStyle w:val="53"/>
        <w:numPr>
          <w:ilvl w:val="0"/>
          <w:numId w:val="10"/>
        </w:numPr>
        <w:spacing w:after="120" w:line="360" w:lineRule="auto"/>
        <w:ind w:left="357" w:firstLine="69" w:firstLineChars="0"/>
      </w:pPr>
      <w:r>
        <w:rPr>
          <w:rFonts w:hint="eastAsia"/>
        </w:rPr>
        <w:t>在A</w:t>
      </w:r>
      <w:r>
        <w:t>CC</w:t>
      </w:r>
      <w:r>
        <w:rPr>
          <w:rFonts w:hint="eastAsia"/>
        </w:rPr>
        <w:t>增加一台服务器，用于二维码防复制功能；</w:t>
      </w:r>
    </w:p>
    <w:p>
      <w:pPr>
        <w:pStyle w:val="53"/>
        <w:numPr>
          <w:ilvl w:val="0"/>
          <w:numId w:val="10"/>
        </w:numPr>
        <w:spacing w:after="120" w:line="360" w:lineRule="auto"/>
        <w:ind w:left="357" w:firstLine="69" w:firstLineChars="0"/>
      </w:pPr>
      <w:r>
        <w:rPr>
          <w:rFonts w:hint="eastAsia"/>
        </w:rPr>
        <w:t>各车站2通道入站闸机和2通道出站闸机的改造。</w:t>
      </w:r>
    </w:p>
    <w:p>
      <w:pPr>
        <w:pStyle w:val="53"/>
        <w:numPr>
          <w:ilvl w:val="0"/>
          <w:numId w:val="10"/>
        </w:numPr>
        <w:spacing w:after="120" w:line="360" w:lineRule="auto"/>
        <w:ind w:left="357" w:firstLine="69" w:firstLineChars="0"/>
      </w:pPr>
      <w:r>
        <w:rPr>
          <w:rFonts w:hint="eastAsia"/>
        </w:rPr>
        <w:t>各车站半自动售票（BOM)的改造。</w:t>
      </w:r>
    </w:p>
    <w:p>
      <w:pPr>
        <w:pStyle w:val="2"/>
      </w:pPr>
      <w:bookmarkStart w:id="11" w:name="_Toc21485"/>
      <w:r>
        <w:rPr>
          <w:rFonts w:hint="eastAsia"/>
        </w:rPr>
        <w:t>总体设计</w:t>
      </w:r>
      <w:bookmarkEnd w:id="11"/>
    </w:p>
    <w:p>
      <w:pPr>
        <w:pStyle w:val="3"/>
        <w:rPr>
          <w:color w:val="E46C0A" w:themeColor="accent6" w:themeShade="BF"/>
        </w:rPr>
      </w:pPr>
      <w:bookmarkStart w:id="12" w:name="_Toc503218074"/>
      <w:bookmarkStart w:id="13" w:name="_Toc16737"/>
      <w:r>
        <w:rPr>
          <w:rFonts w:hint="eastAsia"/>
          <w:color w:val="E46C0A" w:themeColor="accent6" w:themeShade="BF"/>
        </w:rPr>
        <w:t>AFC技术架构</w:t>
      </w:r>
      <w:bookmarkEnd w:id="12"/>
      <w:bookmarkEnd w:id="13"/>
    </w:p>
    <w:p>
      <w:pPr>
        <w:pStyle w:val="41"/>
        <w:spacing w:line="360" w:lineRule="auto"/>
        <w:rPr>
          <w:szCs w:val="24"/>
        </w:rPr>
      </w:pPr>
      <w:r>
        <w:rPr>
          <w:rFonts w:hint="eastAsia"/>
          <w:szCs w:val="24"/>
        </w:rPr>
        <w:t>乌鲁木齐地铁AFC系统采用五层架构：第一层为城市轨道交通票务清分系统（ACC），第二层为线路中央计算机系统(LCC)，第三层为车站计算机系统(SC)，第四层为车站售检票设备(SLE)，第五层为IC车票及手机终端。车站售检票设备又包括自动售票机（TVM），半自动售票机（BOM），自动检票机（AGM）和便携式验票机（PCA）等。</w:t>
      </w:r>
    </w:p>
    <w:p>
      <w:pPr>
        <w:spacing w:after="156"/>
        <w:jc w:val="center"/>
      </w:pPr>
      <w:r>
        <w:object>
          <v:shape id="_x0000_i1025" o:spt="75" type="#_x0000_t75" style="height:302.5pt;width:386.35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p>
      <w:pPr>
        <w:pStyle w:val="41"/>
        <w:spacing w:line="360" w:lineRule="auto"/>
        <w:rPr>
          <w:szCs w:val="24"/>
        </w:rPr>
      </w:pPr>
      <w:r>
        <w:rPr>
          <w:rFonts w:hint="eastAsia"/>
          <w:szCs w:val="24"/>
        </w:rPr>
        <w:t>其第五层主要为IC单程票、专用储值票及公交一卡通车票。采用基于移动支付的AFC系统（即手机过闸方案）后，可直接采用手机终端生成二维码作为车票媒介的方式通行，使得支付手段多样化，大大减少现金及实体车票的使用。</w:t>
      </w:r>
    </w:p>
    <w:p>
      <w:pPr>
        <w:spacing w:after="156"/>
        <w:jc w:val="center"/>
      </w:pPr>
      <w:r>
        <w:drawing>
          <wp:inline distT="0" distB="0" distL="0" distR="0">
            <wp:extent cx="4248150" cy="31159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cstate="print"/>
                    <a:srcRect/>
                    <a:stretch>
                      <a:fillRect/>
                    </a:stretch>
                  </pic:blipFill>
                  <pic:spPr>
                    <a:xfrm>
                      <a:off x="0" y="0"/>
                      <a:ext cx="4253588" cy="3119922"/>
                    </a:xfrm>
                    <a:prstGeom prst="rect">
                      <a:avLst/>
                    </a:prstGeom>
                    <a:noFill/>
                    <a:ln w="9525">
                      <a:noFill/>
                      <a:miter lim="800000"/>
                      <a:headEnd/>
                      <a:tailEnd/>
                    </a:ln>
                  </pic:spPr>
                </pic:pic>
              </a:graphicData>
            </a:graphic>
          </wp:inline>
        </w:drawing>
      </w:r>
    </w:p>
    <w:p>
      <w:pPr>
        <w:pStyle w:val="3"/>
        <w:rPr>
          <w:color w:val="E46C0A" w:themeColor="accent6" w:themeShade="BF"/>
        </w:rPr>
      </w:pPr>
      <w:bookmarkStart w:id="14" w:name="_Toc3803"/>
      <w:r>
        <w:rPr>
          <w:rFonts w:hint="eastAsia"/>
          <w:color w:val="E46C0A" w:themeColor="accent6" w:themeShade="BF"/>
        </w:rPr>
        <w:t>多元化支付平台架构</w:t>
      </w:r>
      <w:bookmarkEnd w:id="14"/>
    </w:p>
    <w:p>
      <w:pPr>
        <w:pStyle w:val="4"/>
        <w:spacing w:after="156"/>
        <w:ind w:left="960" w:right="240"/>
      </w:pPr>
      <w:bookmarkStart w:id="15" w:name="_Toc24927"/>
      <w:r>
        <w:rPr>
          <w:rFonts w:hint="eastAsia"/>
        </w:rPr>
        <w:t>系统架构</w:t>
      </w:r>
      <w:bookmarkEnd w:id="15"/>
    </w:p>
    <w:p>
      <w:pPr>
        <w:spacing w:after="156"/>
        <w:jc w:val="center"/>
      </w:pPr>
      <w:r>
        <w:rPr>
          <w:rFonts w:hint="eastAsia"/>
        </w:rPr>
        <w:drawing>
          <wp:inline distT="0" distB="0" distL="0" distR="0">
            <wp:extent cx="4878705" cy="2853055"/>
            <wp:effectExtent l="0" t="0" r="0" b="4445"/>
            <wp:docPr id="5" name="图片 5" descr="总体架构-思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总体架构-思路"/>
                    <pic:cNvPicPr>
                      <a:picLocks noChangeAspect="1" noChangeArrowheads="1"/>
                    </pic:cNvPicPr>
                  </pic:nvPicPr>
                  <pic:blipFill>
                    <a:blip r:embed="rId13" cstate="print"/>
                    <a:srcRect/>
                    <a:stretch>
                      <a:fillRect/>
                    </a:stretch>
                  </pic:blipFill>
                  <pic:spPr>
                    <a:xfrm>
                      <a:off x="0" y="0"/>
                      <a:ext cx="4889224" cy="2859402"/>
                    </a:xfrm>
                    <a:prstGeom prst="rect">
                      <a:avLst/>
                    </a:prstGeom>
                    <a:noFill/>
                    <a:ln w="9525">
                      <a:noFill/>
                      <a:miter lim="800000"/>
                      <a:headEnd/>
                      <a:tailEnd/>
                    </a:ln>
                  </pic:spPr>
                </pic:pic>
              </a:graphicData>
            </a:graphic>
          </wp:inline>
        </w:drawing>
      </w:r>
    </w:p>
    <w:p>
      <w:pPr>
        <w:pStyle w:val="41"/>
        <w:numPr>
          <w:ilvl w:val="0"/>
          <w:numId w:val="11"/>
        </w:numPr>
        <w:spacing w:line="360" w:lineRule="auto"/>
        <w:ind w:left="567" w:hanging="284"/>
        <w:rPr>
          <w:szCs w:val="24"/>
        </w:rPr>
      </w:pPr>
      <w:r>
        <w:rPr>
          <w:rFonts w:hint="eastAsia"/>
          <w:szCs w:val="24"/>
        </w:rPr>
        <w:t>支付层：在原有的Token、单程票、储值票之外，增加了手机支付层，手机支付层采用二维码等方式实现；</w:t>
      </w:r>
    </w:p>
    <w:p>
      <w:pPr>
        <w:pStyle w:val="41"/>
        <w:numPr>
          <w:ilvl w:val="0"/>
          <w:numId w:val="11"/>
        </w:numPr>
        <w:spacing w:line="360" w:lineRule="auto"/>
        <w:ind w:left="567" w:hanging="284"/>
        <w:rPr>
          <w:szCs w:val="24"/>
        </w:rPr>
      </w:pPr>
      <w:r>
        <w:rPr>
          <w:rFonts w:hint="eastAsia"/>
          <w:szCs w:val="24"/>
        </w:rPr>
        <w:t>设备层：由于传统闸机只具备RFID读写器模块，对新增的二维码支付方式无法识别，需在传统闸机上进行物理改造，新增二维码扫码器，并与闸机控制器相连，实现信号联动；</w:t>
      </w:r>
    </w:p>
    <w:p>
      <w:pPr>
        <w:pStyle w:val="41"/>
        <w:numPr>
          <w:ilvl w:val="0"/>
          <w:numId w:val="11"/>
        </w:numPr>
        <w:spacing w:line="360" w:lineRule="auto"/>
        <w:ind w:left="567" w:hanging="284"/>
        <w:rPr>
          <w:szCs w:val="24"/>
        </w:rPr>
      </w:pPr>
      <w:r>
        <w:rPr>
          <w:rFonts w:hint="eastAsia"/>
          <w:szCs w:val="24"/>
        </w:rPr>
        <w:t>数据传输层：指SC、LC系统，对于SC、LC系统来说，闸机设备兼容了支付宝二维码等支付方式，对于传统AFC系统来说，即新增了一类票卡。SC、LC系统需增加对新增票卡的兼容接口；或对原有接口予以扩展；</w:t>
      </w:r>
    </w:p>
    <w:p>
      <w:pPr>
        <w:pStyle w:val="41"/>
        <w:numPr>
          <w:ilvl w:val="0"/>
          <w:numId w:val="11"/>
        </w:numPr>
        <w:spacing w:line="360" w:lineRule="auto"/>
        <w:ind w:left="567" w:hanging="284"/>
        <w:rPr>
          <w:szCs w:val="24"/>
        </w:rPr>
      </w:pPr>
      <w:r>
        <w:rPr>
          <w:rFonts w:hint="eastAsia"/>
          <w:szCs w:val="24"/>
        </w:rPr>
        <w:t>清分管理层：指ACC系统，对于ACC来说，新增交易类数据、新增支付渠道后，需新增新的清分模型、新的资金划拨渠道。ACC系统需与互联网多元化支付平台进行交易数据交换、资金划拨以及票价参数、优惠参数等参数同步；</w:t>
      </w:r>
    </w:p>
    <w:p>
      <w:pPr>
        <w:pStyle w:val="41"/>
        <w:numPr>
          <w:ilvl w:val="0"/>
          <w:numId w:val="11"/>
        </w:numPr>
        <w:spacing w:line="360" w:lineRule="auto"/>
        <w:ind w:left="567" w:hanging="284"/>
        <w:rPr>
          <w:szCs w:val="24"/>
        </w:rPr>
      </w:pPr>
      <w:r>
        <w:rPr>
          <w:rFonts w:hint="eastAsia"/>
          <w:szCs w:val="24"/>
        </w:rPr>
        <w:t>互联网多元化平台：互联网多元化平台是地铁系统、手机用户、支付系统之间的桥梁，实现ACC、手机APP、多元化支付渠道之间的对接。对地铁ACC，实现交易数据交换、参数同步、资金对账、资金划拨功能；对手机APP用户，实现二维码发码、资金代扣等功能；对多元化支付渠道，实现多种支付渠道的对账、异常处理、资金划拨等功能。</w:t>
      </w:r>
    </w:p>
    <w:p>
      <w:pPr>
        <w:pStyle w:val="4"/>
        <w:spacing w:after="156"/>
        <w:ind w:left="960" w:right="240"/>
      </w:pPr>
      <w:bookmarkStart w:id="16" w:name="_Toc939"/>
      <w:r>
        <w:rPr>
          <w:rFonts w:hint="eastAsia"/>
        </w:rPr>
        <w:t>网络拓扑</w:t>
      </w:r>
      <w:bookmarkEnd w:id="16"/>
    </w:p>
    <w:p>
      <w:pPr>
        <w:spacing w:after="156"/>
        <w:jc w:val="center"/>
      </w:pPr>
      <w:r>
        <w:drawing>
          <wp:inline distT="0" distB="0" distL="0" distR="0">
            <wp:extent cx="5278120" cy="3312160"/>
            <wp:effectExtent l="0" t="0" r="0" b="2540"/>
            <wp:docPr id="6" name="图片 6" descr="C:\Users\Jason_ZYH\AppData\Roaming\DingTalk\33615804\ImageFiles\lADPBbCc1VT9EZnNDRPNFNc_5335_3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Jason_ZYH\AppData\Roaming\DingTalk\33615804\ImageFiles\lADPBbCc1VT9EZnNDRPNFNc_5335_3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8120" cy="3312234"/>
                    </a:xfrm>
                    <a:prstGeom prst="rect">
                      <a:avLst/>
                    </a:prstGeom>
                    <a:noFill/>
                    <a:ln>
                      <a:noFill/>
                    </a:ln>
                  </pic:spPr>
                </pic:pic>
              </a:graphicData>
            </a:graphic>
          </wp:inline>
        </w:drawing>
      </w:r>
    </w:p>
    <w:p>
      <w:pPr>
        <w:spacing w:after="156"/>
        <w:jc w:val="center"/>
        <w:rPr>
          <w:color w:val="00B0F0"/>
        </w:rPr>
      </w:pPr>
      <w:r>
        <w:rPr>
          <w:rFonts w:hint="eastAsia"/>
          <w:color w:val="00B0F0"/>
        </w:rPr>
        <w:t>系统网络架构图</w:t>
      </w:r>
    </w:p>
    <w:p>
      <w:pPr>
        <w:spacing w:after="156"/>
        <w:rPr>
          <w:color w:val="00B0F0"/>
        </w:rPr>
      </w:pPr>
      <w:r>
        <w:rPr>
          <w:color w:val="00B0F0"/>
        </w:rPr>
        <w:tab/>
      </w:r>
      <w:r>
        <w:rPr>
          <w:rFonts w:hint="eastAsia"/>
          <w:color w:val="00B0F0"/>
        </w:rPr>
        <w:t>闸机终端交易数据通过AFC系统网络，经SC，LC实时上传至ACC，再由ACC转发至多元化支付平台。</w:t>
      </w:r>
    </w:p>
    <w:p>
      <w:pPr>
        <w:spacing w:after="156"/>
        <w:rPr>
          <w:color w:val="00B0F0"/>
        </w:rPr>
      </w:pPr>
      <w:r>
        <w:rPr>
          <w:color w:val="00B0F0"/>
        </w:rPr>
        <w:tab/>
      </w:r>
      <w:r>
        <w:rPr>
          <w:rFonts w:hint="eastAsia"/>
          <w:color w:val="00B0F0"/>
        </w:rPr>
        <w:t>闸机终端非交易数据，通过AFC网络，直连到多元化支付平台，进行防复制查询、交易完整性验证等。</w:t>
      </w:r>
    </w:p>
    <w:p>
      <w:pPr>
        <w:spacing w:after="156"/>
      </w:pPr>
      <w:r>
        <w:tab/>
      </w:r>
      <w:r>
        <w:rPr>
          <w:rFonts w:hint="eastAsia"/>
        </w:rPr>
        <w:t>多元化支付平台与ACC之间，通过防火墙进行隔离，来保护防火墙以内ACC和AFC网络系统的安全。</w:t>
      </w:r>
    </w:p>
    <w:p>
      <w:pPr>
        <w:spacing w:after="156"/>
      </w:pPr>
      <w:r>
        <w:tab/>
      </w:r>
      <w:r>
        <w:rPr>
          <w:rFonts w:hint="eastAsia"/>
        </w:rPr>
        <w:t>多元化支付平台接收ACC转发的数据后，通过互联网专线，与部署于阿里云的APP后台进行数据交互。</w:t>
      </w:r>
    </w:p>
    <w:p>
      <w:pPr>
        <w:pStyle w:val="4"/>
        <w:spacing w:after="156"/>
        <w:ind w:left="960" w:right="240"/>
      </w:pPr>
      <w:bookmarkStart w:id="17" w:name="_Toc503218095"/>
      <w:bookmarkStart w:id="18" w:name="_Ref493347196"/>
      <w:bookmarkStart w:id="19" w:name="_Toc12081"/>
      <w:r>
        <w:rPr>
          <w:rFonts w:hint="eastAsia"/>
        </w:rPr>
        <w:t>多元化支付平台</w:t>
      </w:r>
      <w:bookmarkEnd w:id="17"/>
      <w:bookmarkEnd w:id="18"/>
      <w:bookmarkEnd w:id="19"/>
    </w:p>
    <w:p>
      <w:pPr>
        <w:spacing w:after="156"/>
        <w:ind w:firstLine="424" w:firstLineChars="177"/>
      </w:pPr>
      <w:r>
        <w:rPr>
          <w:rFonts w:hint="eastAsia"/>
          <w:color w:val="000000"/>
        </w:rPr>
        <w:t>多元支付平台具备发码/发卡功能、数据交换、参数管理、交易认、票务清分及支付通道功的功能</w:t>
      </w:r>
    </w:p>
    <w:p>
      <w:pPr>
        <w:spacing w:after="156"/>
      </w:pPr>
      <w:r>
        <w:drawing>
          <wp:inline distT="0" distB="0" distL="0" distR="0">
            <wp:extent cx="5274310" cy="31991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74310" cy="3199130"/>
                    </a:xfrm>
                    <a:prstGeom prst="rect">
                      <a:avLst/>
                    </a:prstGeom>
                  </pic:spPr>
                </pic:pic>
              </a:graphicData>
            </a:graphic>
          </wp:inline>
        </w:drawing>
      </w:r>
    </w:p>
    <w:p>
      <w:pPr>
        <w:pStyle w:val="41"/>
        <w:numPr>
          <w:ilvl w:val="0"/>
          <w:numId w:val="9"/>
        </w:numPr>
        <w:spacing w:line="360" w:lineRule="auto"/>
        <w:rPr>
          <w:szCs w:val="24"/>
        </w:rPr>
      </w:pPr>
      <w:bookmarkStart w:id="20" w:name="_Toc503218096"/>
      <w:r>
        <w:rPr>
          <w:rFonts w:hint="eastAsia"/>
          <w:szCs w:val="24"/>
        </w:rPr>
        <w:t>发码/发卡功能</w:t>
      </w:r>
      <w:bookmarkEnd w:id="20"/>
    </w:p>
    <w:p>
      <w:pPr>
        <w:pStyle w:val="41"/>
        <w:spacing w:line="360" w:lineRule="auto"/>
        <w:ind w:left="420" w:firstLine="0"/>
        <w:rPr>
          <w:szCs w:val="24"/>
        </w:rPr>
      </w:pPr>
      <w:r>
        <w:rPr>
          <w:rFonts w:hint="eastAsia"/>
          <w:szCs w:val="24"/>
        </w:rPr>
        <w:t>从APP后台获取二维码公钥并管理；负责维护二维码生成的规则与定义；</w:t>
      </w:r>
    </w:p>
    <w:p>
      <w:pPr>
        <w:pStyle w:val="41"/>
        <w:numPr>
          <w:ilvl w:val="0"/>
          <w:numId w:val="9"/>
        </w:numPr>
        <w:spacing w:line="360" w:lineRule="auto"/>
        <w:rPr>
          <w:szCs w:val="24"/>
        </w:rPr>
      </w:pPr>
      <w:bookmarkStart w:id="21" w:name="_Toc503218097"/>
      <w:r>
        <w:rPr>
          <w:rFonts w:hint="eastAsia"/>
          <w:szCs w:val="24"/>
        </w:rPr>
        <w:t>数据交换功能</w:t>
      </w:r>
      <w:bookmarkEnd w:id="21"/>
    </w:p>
    <w:p>
      <w:pPr>
        <w:pStyle w:val="41"/>
        <w:spacing w:line="360" w:lineRule="auto"/>
        <w:rPr>
          <w:szCs w:val="24"/>
        </w:rPr>
      </w:pPr>
      <w:r>
        <w:rPr>
          <w:rFonts w:hint="eastAsia"/>
          <w:szCs w:val="24"/>
        </w:rPr>
        <w:t>数据交换</w:t>
      </w:r>
      <w:r>
        <w:rPr>
          <w:szCs w:val="24"/>
        </w:rPr>
        <w:t>系统为</w:t>
      </w:r>
      <w:r>
        <w:rPr>
          <w:rFonts w:hint="eastAsia"/>
          <w:szCs w:val="24"/>
        </w:rPr>
        <w:t>与ACC系统对接，</w:t>
      </w:r>
      <w:r>
        <w:rPr>
          <w:szCs w:val="24"/>
        </w:rPr>
        <w:t>提供各类业务</w:t>
      </w:r>
      <w:r>
        <w:rPr>
          <w:rFonts w:hint="eastAsia"/>
          <w:szCs w:val="24"/>
        </w:rPr>
        <w:t>的</w:t>
      </w:r>
      <w:r>
        <w:rPr>
          <w:szCs w:val="24"/>
        </w:rPr>
        <w:t>支撑</w:t>
      </w:r>
      <w:r>
        <w:rPr>
          <w:rFonts w:hint="eastAsia"/>
          <w:szCs w:val="24"/>
        </w:rPr>
        <w:t>，</w:t>
      </w:r>
      <w:r>
        <w:rPr>
          <w:szCs w:val="24"/>
        </w:rPr>
        <w:t>通过</w:t>
      </w:r>
      <w:r>
        <w:rPr>
          <w:rFonts w:hint="eastAsia"/>
          <w:szCs w:val="24"/>
        </w:rPr>
        <w:t>SOCK</w:t>
      </w:r>
      <w:r>
        <w:rPr>
          <w:szCs w:val="24"/>
        </w:rPr>
        <w:t>ET</w:t>
      </w:r>
      <w:r>
        <w:rPr>
          <w:rFonts w:hint="eastAsia"/>
          <w:szCs w:val="24"/>
        </w:rPr>
        <w:t>报文</w:t>
      </w:r>
      <w:r>
        <w:rPr>
          <w:szCs w:val="24"/>
        </w:rPr>
        <w:t>方式</w:t>
      </w:r>
      <w:r>
        <w:rPr>
          <w:rFonts w:hint="eastAsia"/>
          <w:szCs w:val="24"/>
        </w:rPr>
        <w:t>与ACC系统</w:t>
      </w:r>
      <w:r>
        <w:rPr>
          <w:szCs w:val="24"/>
        </w:rPr>
        <w:t>进行数据交换。</w:t>
      </w:r>
    </w:p>
    <w:p>
      <w:pPr>
        <w:pStyle w:val="41"/>
        <w:spacing w:line="360" w:lineRule="auto"/>
        <w:rPr>
          <w:szCs w:val="24"/>
        </w:rPr>
      </w:pPr>
      <w:r>
        <w:rPr>
          <w:rFonts w:hint="eastAsia"/>
          <w:szCs w:val="24"/>
        </w:rPr>
        <w:t>在</w:t>
      </w:r>
      <w:r>
        <w:rPr>
          <w:szCs w:val="24"/>
        </w:rPr>
        <w:t>所有的业务中，</w:t>
      </w:r>
      <w:r>
        <w:rPr>
          <w:rFonts w:hint="eastAsia"/>
          <w:szCs w:val="24"/>
        </w:rPr>
        <w:t>业务</w:t>
      </w:r>
      <w:r>
        <w:rPr>
          <w:szCs w:val="24"/>
        </w:rPr>
        <w:t>请求</w:t>
      </w:r>
      <w:r>
        <w:rPr>
          <w:rFonts w:hint="eastAsia"/>
          <w:szCs w:val="24"/>
        </w:rPr>
        <w:t>由ACC方</w:t>
      </w:r>
      <w:r>
        <w:rPr>
          <w:szCs w:val="24"/>
        </w:rPr>
        <w:t>发起，</w:t>
      </w:r>
      <w:r>
        <w:rPr>
          <w:rFonts w:hint="eastAsia"/>
          <w:szCs w:val="24"/>
        </w:rPr>
        <w:t>联机通信系统都</w:t>
      </w:r>
      <w:r>
        <w:rPr>
          <w:szCs w:val="24"/>
        </w:rPr>
        <w:t>是被访问的服务端</w:t>
      </w:r>
      <w:r>
        <w:rPr>
          <w:rFonts w:hint="eastAsia"/>
          <w:szCs w:val="24"/>
        </w:rPr>
        <w:t>。ACC</w:t>
      </w:r>
      <w:r>
        <w:rPr>
          <w:szCs w:val="24"/>
        </w:rPr>
        <w:t>与</w:t>
      </w:r>
      <w:r>
        <w:rPr>
          <w:rFonts w:hint="eastAsia"/>
          <w:szCs w:val="24"/>
        </w:rPr>
        <w:t>数据</w:t>
      </w:r>
      <w:r>
        <w:rPr>
          <w:szCs w:val="24"/>
        </w:rPr>
        <w:t>系统采用</w:t>
      </w:r>
      <w:r>
        <w:rPr>
          <w:rFonts w:hint="eastAsia"/>
          <w:szCs w:val="24"/>
        </w:rPr>
        <w:t>“一问一答”的</w:t>
      </w:r>
      <w:r>
        <w:rPr>
          <w:szCs w:val="24"/>
        </w:rPr>
        <w:t>方式进行交互</w:t>
      </w:r>
      <w:r>
        <w:rPr>
          <w:rFonts w:hint="eastAsia"/>
          <w:szCs w:val="24"/>
        </w:rPr>
        <w:t>。</w:t>
      </w:r>
    </w:p>
    <w:p>
      <w:pPr>
        <w:pStyle w:val="41"/>
        <w:numPr>
          <w:ilvl w:val="0"/>
          <w:numId w:val="9"/>
        </w:numPr>
        <w:spacing w:line="360" w:lineRule="auto"/>
        <w:rPr>
          <w:szCs w:val="24"/>
        </w:rPr>
      </w:pPr>
      <w:bookmarkStart w:id="22" w:name="_Toc503218098"/>
      <w:r>
        <w:rPr>
          <w:rFonts w:hint="eastAsia"/>
          <w:szCs w:val="24"/>
        </w:rPr>
        <w:t>参数管理功能</w:t>
      </w:r>
      <w:bookmarkEnd w:id="22"/>
    </w:p>
    <w:p>
      <w:pPr>
        <w:pStyle w:val="41"/>
        <w:spacing w:line="360" w:lineRule="auto"/>
        <w:rPr>
          <w:szCs w:val="24"/>
        </w:rPr>
      </w:pPr>
      <w:r>
        <w:rPr>
          <w:rFonts w:hint="eastAsia"/>
          <w:szCs w:val="24"/>
        </w:rPr>
        <w:t>参数管理功能</w:t>
      </w:r>
      <w:r>
        <w:rPr>
          <w:szCs w:val="24"/>
        </w:rPr>
        <w:t>用于</w:t>
      </w:r>
      <w:r>
        <w:rPr>
          <w:rFonts w:hint="eastAsia"/>
          <w:szCs w:val="24"/>
        </w:rPr>
        <w:t>互联网多元化支付平台获取ACC参数</w:t>
      </w:r>
      <w:r>
        <w:rPr>
          <w:szCs w:val="24"/>
        </w:rPr>
        <w:t>、</w:t>
      </w:r>
      <w:r>
        <w:rPr>
          <w:rFonts w:hint="eastAsia"/>
          <w:szCs w:val="24"/>
        </w:rPr>
        <w:t>管理</w:t>
      </w:r>
      <w:r>
        <w:rPr>
          <w:szCs w:val="24"/>
        </w:rPr>
        <w:t>终端</w:t>
      </w:r>
      <w:r>
        <w:rPr>
          <w:rFonts w:hint="eastAsia"/>
          <w:szCs w:val="24"/>
        </w:rPr>
        <w:t>与</w:t>
      </w:r>
      <w:r>
        <w:rPr>
          <w:szCs w:val="24"/>
        </w:rPr>
        <w:t>手机客户端参数的功能，主要</w:t>
      </w:r>
      <w:r>
        <w:rPr>
          <w:rFonts w:hint="eastAsia"/>
          <w:szCs w:val="24"/>
        </w:rPr>
        <w:t>包括ACC参数导入管理、终端参数管理、</w:t>
      </w:r>
      <w:r>
        <w:rPr>
          <w:szCs w:val="24"/>
        </w:rPr>
        <w:t>手机客户端参数管理</w:t>
      </w:r>
      <w:r>
        <w:rPr>
          <w:rFonts w:hint="eastAsia"/>
          <w:szCs w:val="24"/>
        </w:rPr>
        <w:t>等。</w:t>
      </w:r>
    </w:p>
    <w:p>
      <w:pPr>
        <w:pStyle w:val="41"/>
        <w:numPr>
          <w:ilvl w:val="0"/>
          <w:numId w:val="12"/>
        </w:numPr>
        <w:spacing w:line="360" w:lineRule="auto"/>
        <w:ind w:left="567" w:hanging="141"/>
        <w:rPr>
          <w:szCs w:val="24"/>
        </w:rPr>
      </w:pPr>
      <w:r>
        <w:rPr>
          <w:rFonts w:hint="eastAsia"/>
          <w:szCs w:val="24"/>
        </w:rPr>
        <w:t>ACC参数</w:t>
      </w:r>
      <w:r>
        <w:rPr>
          <w:szCs w:val="24"/>
        </w:rPr>
        <w:t>包括：路网拓扑参数</w:t>
      </w:r>
      <w:r>
        <w:rPr>
          <w:rFonts w:hint="eastAsia"/>
          <w:szCs w:val="24"/>
        </w:rPr>
        <w:t>、</w:t>
      </w:r>
      <w:r>
        <w:rPr>
          <w:szCs w:val="24"/>
        </w:rPr>
        <w:t>购票界面参数、票价参数、票种参数等。</w:t>
      </w:r>
    </w:p>
    <w:p>
      <w:pPr>
        <w:pStyle w:val="41"/>
        <w:numPr>
          <w:ilvl w:val="0"/>
          <w:numId w:val="12"/>
        </w:numPr>
        <w:spacing w:line="360" w:lineRule="auto"/>
        <w:ind w:left="567" w:hanging="141"/>
        <w:rPr>
          <w:szCs w:val="24"/>
        </w:rPr>
      </w:pPr>
      <w:r>
        <w:rPr>
          <w:rFonts w:hint="eastAsia"/>
          <w:szCs w:val="24"/>
        </w:rPr>
        <w:t>手机</w:t>
      </w:r>
      <w:r>
        <w:rPr>
          <w:szCs w:val="24"/>
        </w:rPr>
        <w:t>客户端参数包括：路网拓扑参数</w:t>
      </w:r>
      <w:r>
        <w:rPr>
          <w:rFonts w:hint="eastAsia"/>
          <w:szCs w:val="24"/>
        </w:rPr>
        <w:t>、</w:t>
      </w:r>
      <w:r>
        <w:rPr>
          <w:szCs w:val="24"/>
        </w:rPr>
        <w:t>界面参数、票价参数、票种参数</w:t>
      </w:r>
      <w:r>
        <w:rPr>
          <w:rFonts w:hint="eastAsia"/>
          <w:szCs w:val="24"/>
        </w:rPr>
        <w:t>等</w:t>
      </w:r>
      <w:r>
        <w:rPr>
          <w:szCs w:val="24"/>
        </w:rPr>
        <w:t>。</w:t>
      </w:r>
    </w:p>
    <w:p>
      <w:pPr>
        <w:pStyle w:val="41"/>
        <w:numPr>
          <w:ilvl w:val="0"/>
          <w:numId w:val="12"/>
        </w:numPr>
        <w:spacing w:line="360" w:lineRule="auto"/>
        <w:ind w:left="567" w:hanging="141"/>
        <w:rPr>
          <w:szCs w:val="24"/>
        </w:rPr>
      </w:pPr>
      <w:r>
        <w:rPr>
          <w:rFonts w:hint="eastAsia"/>
          <w:szCs w:val="24"/>
        </w:rPr>
        <w:t>终端参数</w:t>
      </w:r>
      <w:r>
        <w:rPr>
          <w:szCs w:val="24"/>
        </w:rPr>
        <w:t>包括：</w:t>
      </w:r>
      <w:r>
        <w:rPr>
          <w:rFonts w:hint="eastAsia"/>
          <w:szCs w:val="24"/>
        </w:rPr>
        <w:t>交易处理</w:t>
      </w:r>
      <w:r>
        <w:rPr>
          <w:szCs w:val="24"/>
        </w:rPr>
        <w:t>参数</w:t>
      </w:r>
      <w:r>
        <w:rPr>
          <w:rFonts w:hint="eastAsia"/>
          <w:szCs w:val="24"/>
        </w:rPr>
        <w:t>等</w:t>
      </w:r>
      <w:r>
        <w:rPr>
          <w:szCs w:val="24"/>
        </w:rPr>
        <w:t>。</w:t>
      </w:r>
    </w:p>
    <w:p>
      <w:pPr>
        <w:pStyle w:val="41"/>
        <w:numPr>
          <w:ilvl w:val="0"/>
          <w:numId w:val="9"/>
        </w:numPr>
        <w:spacing w:line="360" w:lineRule="auto"/>
        <w:rPr>
          <w:szCs w:val="24"/>
        </w:rPr>
      </w:pPr>
      <w:bookmarkStart w:id="23" w:name="_Toc503218099"/>
      <w:r>
        <w:rPr>
          <w:rFonts w:hint="eastAsia"/>
          <w:szCs w:val="24"/>
        </w:rPr>
        <w:t>交易认证功能</w:t>
      </w:r>
      <w:bookmarkEnd w:id="23"/>
    </w:p>
    <w:p>
      <w:pPr>
        <w:pStyle w:val="41"/>
        <w:spacing w:line="360" w:lineRule="auto"/>
        <w:rPr>
          <w:szCs w:val="24"/>
        </w:rPr>
      </w:pPr>
      <w:r>
        <w:rPr>
          <w:rFonts w:hint="eastAsia"/>
          <w:szCs w:val="24"/>
        </w:rPr>
        <w:t>互联网多元化支付平台采集到ACC发送的用户二维码交易数据后，根据认证规则对交易数据的正确性、完整性等予以认证。对非法数据予以剔除，对合法性数据按照地铁ACC票价参数予以匹配，并发送相应的用户扣费指令。</w:t>
      </w:r>
    </w:p>
    <w:p>
      <w:pPr>
        <w:pStyle w:val="41"/>
        <w:numPr>
          <w:ilvl w:val="0"/>
          <w:numId w:val="9"/>
        </w:numPr>
        <w:spacing w:line="360" w:lineRule="auto"/>
        <w:rPr>
          <w:szCs w:val="24"/>
        </w:rPr>
      </w:pPr>
      <w:bookmarkStart w:id="24" w:name="_Toc503218100"/>
      <w:r>
        <w:rPr>
          <w:rFonts w:hint="eastAsia"/>
          <w:szCs w:val="24"/>
        </w:rPr>
        <w:t>统一支付通道功能</w:t>
      </w:r>
      <w:bookmarkEnd w:id="24"/>
    </w:p>
    <w:p>
      <w:pPr>
        <w:pStyle w:val="41"/>
        <w:spacing w:line="360" w:lineRule="auto"/>
        <w:rPr>
          <w:szCs w:val="24"/>
        </w:rPr>
      </w:pPr>
      <w:r>
        <w:rPr>
          <w:rFonts w:hint="eastAsia"/>
          <w:szCs w:val="24"/>
        </w:rPr>
        <w:t>互联网多元化支付平台中将增加统一支付通道系统，为地铁AFC系统中所有提供移动支付功能的支持。</w:t>
      </w:r>
    </w:p>
    <w:p>
      <w:pPr>
        <w:pStyle w:val="41"/>
        <w:spacing w:line="360" w:lineRule="auto"/>
        <w:rPr>
          <w:szCs w:val="24"/>
        </w:rPr>
      </w:pPr>
      <w:r>
        <w:rPr>
          <w:rFonts w:hint="eastAsia"/>
          <w:szCs w:val="24"/>
        </w:rPr>
        <w:t>统一支付通道系统将作为AFC系统中与第三方支付机构连接的互联网出入口，保证的全线网在不接入互联网的情况下支持第三方支付功能。其网络连接示意图如下：</w:t>
      </w:r>
    </w:p>
    <w:p>
      <w:pPr>
        <w:spacing w:after="156"/>
        <w:jc w:val="center"/>
        <w:rPr>
          <w:kern w:val="0"/>
        </w:rPr>
      </w:pPr>
      <w:r>
        <w:rPr>
          <w:kern w:val="0"/>
        </w:rPr>
        <w:drawing>
          <wp:inline distT="0" distB="0" distL="0" distR="0">
            <wp:extent cx="4001135" cy="1645920"/>
            <wp:effectExtent l="0" t="0" r="0" b="0"/>
            <wp:docPr id="7" name="图片 7" descr="C:\Users\33565\Documents\Tencent Files\33565283\FileRecv\67DT2]~}4S_2$LS8TN3}7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33565\Documents\Tencent Files\33565283\FileRecv\67DT2]~}4S_2$LS8TN3}7M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001135" cy="1645920"/>
                    </a:xfrm>
                    <a:prstGeom prst="rect">
                      <a:avLst/>
                    </a:prstGeom>
                    <a:noFill/>
                    <a:ln>
                      <a:noFill/>
                    </a:ln>
                  </pic:spPr>
                </pic:pic>
              </a:graphicData>
            </a:graphic>
          </wp:inline>
        </w:drawing>
      </w:r>
    </w:p>
    <w:p>
      <w:pPr>
        <w:pStyle w:val="41"/>
        <w:numPr>
          <w:ilvl w:val="0"/>
          <w:numId w:val="9"/>
        </w:numPr>
        <w:rPr>
          <w:szCs w:val="24"/>
        </w:rPr>
      </w:pPr>
      <w:bookmarkStart w:id="25" w:name="_Toc503218101"/>
      <w:r>
        <w:rPr>
          <w:rFonts w:hint="eastAsia"/>
          <w:szCs w:val="24"/>
        </w:rPr>
        <w:t>票务清分功能</w:t>
      </w:r>
      <w:bookmarkEnd w:id="25"/>
    </w:p>
    <w:p>
      <w:pPr>
        <w:pStyle w:val="41"/>
        <w:spacing w:line="360" w:lineRule="auto"/>
        <w:rPr>
          <w:szCs w:val="24"/>
        </w:rPr>
      </w:pPr>
      <w:r>
        <w:rPr>
          <w:rFonts w:hint="eastAsia"/>
          <w:szCs w:val="24"/>
        </w:rPr>
        <w:t>票务清分</w:t>
      </w:r>
      <w:r>
        <w:rPr>
          <w:szCs w:val="24"/>
        </w:rPr>
        <w:t>系统是</w:t>
      </w:r>
      <w:r>
        <w:rPr>
          <w:rFonts w:hint="eastAsia"/>
          <w:szCs w:val="24"/>
        </w:rPr>
        <w:t>互联网多元化支付平台内部</w:t>
      </w:r>
      <w:r>
        <w:rPr>
          <w:szCs w:val="24"/>
        </w:rPr>
        <w:t>数据清算</w:t>
      </w:r>
      <w:r>
        <w:rPr>
          <w:rFonts w:hint="eastAsia"/>
          <w:szCs w:val="24"/>
        </w:rPr>
        <w:t>、</w:t>
      </w:r>
      <w:r>
        <w:rPr>
          <w:szCs w:val="24"/>
        </w:rPr>
        <w:t>外部系统</w:t>
      </w:r>
      <w:r>
        <w:rPr>
          <w:rFonts w:hint="eastAsia"/>
          <w:szCs w:val="24"/>
        </w:rPr>
        <w:t>进行业务</w:t>
      </w:r>
      <w:r>
        <w:rPr>
          <w:szCs w:val="24"/>
        </w:rPr>
        <w:t>数据及账务数据对接</w:t>
      </w:r>
      <w:r>
        <w:rPr>
          <w:rFonts w:hint="eastAsia"/>
          <w:szCs w:val="24"/>
        </w:rPr>
        <w:t>的</w:t>
      </w:r>
      <w:r>
        <w:rPr>
          <w:szCs w:val="24"/>
        </w:rPr>
        <w:t>核心系统，其主要功能包括</w:t>
      </w:r>
      <w:r>
        <w:rPr>
          <w:rFonts w:hint="eastAsia"/>
          <w:szCs w:val="24"/>
        </w:rPr>
        <w:t>：</w:t>
      </w:r>
    </w:p>
    <w:tbl>
      <w:tblPr>
        <w:tblStyle w:val="38"/>
        <w:tblW w:w="82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1985" w:type="dxa"/>
            <w:shd w:val="clear" w:color="auto" w:fill="auto"/>
            <w:vAlign w:val="center"/>
          </w:tcPr>
          <w:p>
            <w:pPr>
              <w:pStyle w:val="44"/>
              <w:rPr>
                <w:szCs w:val="24"/>
              </w:rPr>
            </w:pPr>
            <w:r>
              <w:rPr>
                <w:rFonts w:hint="eastAsia"/>
                <w:szCs w:val="24"/>
              </w:rPr>
              <w:t>功能模块</w:t>
            </w:r>
          </w:p>
        </w:tc>
        <w:tc>
          <w:tcPr>
            <w:tcW w:w="6225" w:type="dxa"/>
            <w:shd w:val="clear" w:color="auto" w:fill="auto"/>
            <w:vAlign w:val="center"/>
          </w:tcPr>
          <w:p>
            <w:pPr>
              <w:pStyle w:val="44"/>
              <w:rPr>
                <w:szCs w:val="24"/>
              </w:rPr>
            </w:pPr>
            <w:r>
              <w:rPr>
                <w:rFonts w:hint="eastAsia"/>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shd w:val="clear" w:color="auto" w:fill="auto"/>
          </w:tcPr>
          <w:p>
            <w:pPr>
              <w:pStyle w:val="44"/>
              <w:jc w:val="left"/>
              <w:rPr>
                <w:b w:val="0"/>
                <w:szCs w:val="24"/>
              </w:rPr>
            </w:pPr>
            <w:r>
              <w:rPr>
                <w:rFonts w:hint="eastAsia"/>
                <w:b w:val="0"/>
                <w:szCs w:val="24"/>
              </w:rPr>
              <w:t>数据</w:t>
            </w:r>
            <w:r>
              <w:rPr>
                <w:b w:val="0"/>
                <w:szCs w:val="24"/>
              </w:rPr>
              <w:t>导入</w:t>
            </w:r>
          </w:p>
        </w:tc>
        <w:tc>
          <w:tcPr>
            <w:tcW w:w="6225" w:type="dxa"/>
            <w:shd w:val="clear" w:color="auto" w:fill="auto"/>
          </w:tcPr>
          <w:p>
            <w:pPr>
              <w:pStyle w:val="44"/>
              <w:jc w:val="left"/>
              <w:rPr>
                <w:b w:val="0"/>
                <w:szCs w:val="24"/>
              </w:rPr>
            </w:pPr>
            <w:r>
              <w:rPr>
                <w:rFonts w:hint="eastAsia"/>
                <w:b w:val="0"/>
                <w:szCs w:val="24"/>
              </w:rPr>
              <w:t>导入</w:t>
            </w:r>
            <w:r>
              <w:rPr>
                <w:b w:val="0"/>
                <w:szCs w:val="24"/>
              </w:rPr>
              <w:t>系统需要处理的业务数据和账务数据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shd w:val="clear" w:color="auto" w:fill="auto"/>
          </w:tcPr>
          <w:p>
            <w:pPr>
              <w:pStyle w:val="44"/>
              <w:jc w:val="left"/>
              <w:rPr>
                <w:b w:val="0"/>
                <w:szCs w:val="24"/>
              </w:rPr>
            </w:pPr>
            <w:r>
              <w:rPr>
                <w:rFonts w:hint="eastAsia"/>
                <w:b w:val="0"/>
                <w:szCs w:val="24"/>
              </w:rPr>
              <w:t>数据校验</w:t>
            </w:r>
          </w:p>
        </w:tc>
        <w:tc>
          <w:tcPr>
            <w:tcW w:w="6225" w:type="dxa"/>
            <w:shd w:val="clear" w:color="auto" w:fill="auto"/>
          </w:tcPr>
          <w:p>
            <w:pPr>
              <w:pStyle w:val="44"/>
              <w:jc w:val="left"/>
              <w:rPr>
                <w:b w:val="0"/>
                <w:szCs w:val="24"/>
              </w:rPr>
            </w:pPr>
            <w:r>
              <w:rPr>
                <w:rFonts w:hint="eastAsia"/>
                <w:b w:val="0"/>
                <w:szCs w:val="24"/>
              </w:rPr>
              <w:t>通过</w:t>
            </w:r>
            <w:r>
              <w:rPr>
                <w:b w:val="0"/>
                <w:szCs w:val="24"/>
              </w:rPr>
              <w:t>数据</w:t>
            </w:r>
            <w:r>
              <w:rPr>
                <w:rFonts w:hint="eastAsia"/>
                <w:b w:val="0"/>
                <w:szCs w:val="24"/>
              </w:rPr>
              <w:t>校验</w:t>
            </w:r>
            <w:r>
              <w:rPr>
                <w:b w:val="0"/>
                <w:szCs w:val="24"/>
              </w:rPr>
              <w:t>保证系统接收到的数据的</w:t>
            </w:r>
            <w:r>
              <w:rPr>
                <w:rFonts w:hint="eastAsia"/>
                <w:b w:val="0"/>
                <w:szCs w:val="24"/>
              </w:rPr>
              <w:t>完整性</w:t>
            </w:r>
            <w:r>
              <w:rPr>
                <w:b w:val="0"/>
                <w:szCs w:val="24"/>
              </w:rPr>
              <w:t>、</w:t>
            </w:r>
            <w:r>
              <w:rPr>
                <w:rFonts w:hint="eastAsia"/>
                <w:b w:val="0"/>
                <w:szCs w:val="24"/>
              </w:rPr>
              <w:t>准确性</w:t>
            </w:r>
            <w:r>
              <w:rPr>
                <w:b w:val="0"/>
                <w:szCs w:val="24"/>
              </w:rPr>
              <w:t>、唯一性</w:t>
            </w:r>
            <w:r>
              <w:rPr>
                <w:rFonts w:hint="eastAsia"/>
                <w:b w:val="0"/>
                <w:szCs w:val="24"/>
              </w:rPr>
              <w:t>和安全性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shd w:val="clear" w:color="auto" w:fill="auto"/>
          </w:tcPr>
          <w:p>
            <w:pPr>
              <w:pStyle w:val="44"/>
              <w:jc w:val="left"/>
              <w:rPr>
                <w:b w:val="0"/>
                <w:szCs w:val="24"/>
              </w:rPr>
            </w:pPr>
            <w:r>
              <w:rPr>
                <w:rFonts w:hint="eastAsia"/>
                <w:b w:val="0"/>
                <w:szCs w:val="24"/>
              </w:rPr>
              <w:t>数据</w:t>
            </w:r>
            <w:r>
              <w:rPr>
                <w:b w:val="0"/>
                <w:szCs w:val="24"/>
              </w:rPr>
              <w:t>清分</w:t>
            </w:r>
          </w:p>
        </w:tc>
        <w:tc>
          <w:tcPr>
            <w:tcW w:w="6225" w:type="dxa"/>
            <w:shd w:val="clear" w:color="auto" w:fill="auto"/>
          </w:tcPr>
          <w:p>
            <w:pPr>
              <w:pStyle w:val="44"/>
              <w:jc w:val="left"/>
              <w:rPr>
                <w:b w:val="0"/>
                <w:szCs w:val="24"/>
              </w:rPr>
            </w:pPr>
            <w:r>
              <w:rPr>
                <w:rFonts w:hint="eastAsia"/>
                <w:b w:val="0"/>
                <w:szCs w:val="24"/>
              </w:rPr>
              <w:t>对</w:t>
            </w:r>
            <w:r>
              <w:rPr>
                <w:b w:val="0"/>
                <w:szCs w:val="24"/>
              </w:rPr>
              <w:t>系统</w:t>
            </w:r>
            <w:r>
              <w:rPr>
                <w:rFonts w:hint="eastAsia"/>
                <w:b w:val="0"/>
                <w:szCs w:val="24"/>
              </w:rPr>
              <w:t>接收</w:t>
            </w:r>
            <w:r>
              <w:rPr>
                <w:b w:val="0"/>
                <w:szCs w:val="24"/>
              </w:rPr>
              <w:t>到的数据进行</w:t>
            </w:r>
            <w:r>
              <w:rPr>
                <w:rFonts w:hint="eastAsia"/>
                <w:b w:val="0"/>
                <w:szCs w:val="24"/>
              </w:rPr>
              <w:t>清分。需处理</w:t>
            </w:r>
            <w:r>
              <w:rPr>
                <w:b w:val="0"/>
                <w:szCs w:val="24"/>
              </w:rPr>
              <w:t>的数据包括</w:t>
            </w:r>
            <w:r>
              <w:rPr>
                <w:rFonts w:hint="eastAsia"/>
                <w:b w:val="0"/>
                <w:szCs w:val="24"/>
              </w:rPr>
              <w:t>但</w:t>
            </w:r>
            <w:r>
              <w:rPr>
                <w:b w:val="0"/>
                <w:szCs w:val="24"/>
              </w:rPr>
              <w:t>不限于</w:t>
            </w:r>
            <w:r>
              <w:rPr>
                <w:rFonts w:hint="eastAsia"/>
                <w:b w:val="0"/>
                <w:szCs w:val="24"/>
              </w:rPr>
              <w:t>出入闸机交易数据。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shd w:val="clear" w:color="auto" w:fill="auto"/>
          </w:tcPr>
          <w:p>
            <w:pPr>
              <w:pStyle w:val="44"/>
              <w:jc w:val="left"/>
              <w:rPr>
                <w:b w:val="0"/>
                <w:szCs w:val="24"/>
              </w:rPr>
            </w:pPr>
            <w:r>
              <w:rPr>
                <w:rFonts w:hint="eastAsia"/>
                <w:b w:val="0"/>
                <w:szCs w:val="24"/>
              </w:rPr>
              <w:t>数据</w:t>
            </w:r>
            <w:r>
              <w:rPr>
                <w:b w:val="0"/>
                <w:szCs w:val="24"/>
              </w:rPr>
              <w:t>生成</w:t>
            </w:r>
          </w:p>
        </w:tc>
        <w:tc>
          <w:tcPr>
            <w:tcW w:w="6225" w:type="dxa"/>
            <w:shd w:val="clear" w:color="auto" w:fill="auto"/>
          </w:tcPr>
          <w:p>
            <w:pPr>
              <w:pStyle w:val="44"/>
              <w:jc w:val="left"/>
              <w:rPr>
                <w:b w:val="0"/>
                <w:szCs w:val="24"/>
              </w:rPr>
            </w:pPr>
            <w:r>
              <w:rPr>
                <w:rFonts w:hint="eastAsia"/>
                <w:b w:val="0"/>
                <w:szCs w:val="24"/>
              </w:rPr>
              <w:t>按照ACC数据</w:t>
            </w:r>
            <w:r>
              <w:rPr>
                <w:b w:val="0"/>
                <w:szCs w:val="24"/>
              </w:rPr>
              <w:t>交换接口，</w:t>
            </w:r>
            <w:r>
              <w:rPr>
                <w:rFonts w:hint="eastAsia"/>
                <w:b w:val="0"/>
                <w:szCs w:val="24"/>
              </w:rPr>
              <w:t>根据</w:t>
            </w:r>
            <w:r>
              <w:rPr>
                <w:b w:val="0"/>
                <w:szCs w:val="24"/>
              </w:rPr>
              <w:t>清分结果</w:t>
            </w:r>
            <w:r>
              <w:rPr>
                <w:rFonts w:hint="eastAsia"/>
                <w:b w:val="0"/>
                <w:szCs w:val="24"/>
              </w:rPr>
              <w:t>按</w:t>
            </w:r>
            <w:r>
              <w:rPr>
                <w:b w:val="0"/>
                <w:szCs w:val="24"/>
              </w:rPr>
              <w:t>线路或站点进行交换文件的生成；按照第三方支付系统的接口，生成对账文件。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shd w:val="clear" w:color="auto" w:fill="auto"/>
          </w:tcPr>
          <w:p>
            <w:pPr>
              <w:pStyle w:val="44"/>
              <w:jc w:val="left"/>
              <w:rPr>
                <w:b w:val="0"/>
                <w:szCs w:val="24"/>
              </w:rPr>
            </w:pPr>
            <w:r>
              <w:rPr>
                <w:rFonts w:hint="eastAsia"/>
                <w:b w:val="0"/>
                <w:szCs w:val="24"/>
              </w:rPr>
              <w:t>异常</w:t>
            </w:r>
            <w:r>
              <w:rPr>
                <w:b w:val="0"/>
                <w:szCs w:val="24"/>
              </w:rPr>
              <w:t>数据处理</w:t>
            </w:r>
          </w:p>
        </w:tc>
        <w:tc>
          <w:tcPr>
            <w:tcW w:w="6225" w:type="dxa"/>
            <w:shd w:val="clear" w:color="auto" w:fill="auto"/>
          </w:tcPr>
          <w:p>
            <w:pPr>
              <w:pStyle w:val="44"/>
              <w:jc w:val="left"/>
              <w:rPr>
                <w:b w:val="0"/>
                <w:szCs w:val="24"/>
              </w:rPr>
            </w:pPr>
            <w:r>
              <w:rPr>
                <w:rFonts w:hint="eastAsia"/>
                <w:b w:val="0"/>
                <w:szCs w:val="24"/>
              </w:rPr>
              <w:t>对接收的所有交易数据进行检查、排错，错误的数据按照指定的处理规则进行处理，并同时记录错误信息，经过处理规则处理的消息或者文件同时被标注上错误类型代码，供相应的报表查询使用。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shd w:val="clear" w:color="auto" w:fill="auto"/>
          </w:tcPr>
          <w:p>
            <w:pPr>
              <w:pStyle w:val="44"/>
              <w:jc w:val="left"/>
              <w:rPr>
                <w:b w:val="0"/>
                <w:szCs w:val="24"/>
              </w:rPr>
            </w:pPr>
            <w:r>
              <w:rPr>
                <w:rFonts w:hint="eastAsia"/>
                <w:b w:val="0"/>
                <w:szCs w:val="24"/>
              </w:rPr>
              <w:t>对账结算</w:t>
            </w:r>
          </w:p>
        </w:tc>
        <w:tc>
          <w:tcPr>
            <w:tcW w:w="6225" w:type="dxa"/>
            <w:shd w:val="clear" w:color="auto" w:fill="auto"/>
          </w:tcPr>
          <w:p>
            <w:pPr>
              <w:pStyle w:val="44"/>
              <w:jc w:val="left"/>
              <w:rPr>
                <w:b w:val="0"/>
                <w:szCs w:val="24"/>
              </w:rPr>
            </w:pPr>
            <w:r>
              <w:rPr>
                <w:b w:val="0"/>
                <w:szCs w:val="24"/>
              </w:rPr>
              <w:t>与第三方支付机构完成购票款、</w:t>
            </w:r>
            <w:r>
              <w:rPr>
                <w:rFonts w:hint="eastAsia"/>
                <w:b w:val="0"/>
                <w:szCs w:val="24"/>
              </w:rPr>
              <w:t>VIP身份证过闸</w:t>
            </w:r>
            <w:r>
              <w:rPr>
                <w:b w:val="0"/>
                <w:szCs w:val="24"/>
              </w:rPr>
              <w:t>代扣款项、信用取票过闸代扣款项、BOM更新款项等的核对与结算工作</w:t>
            </w:r>
            <w:r>
              <w:rPr>
                <w:rFonts w:hint="eastAsia"/>
                <w:b w:val="0"/>
                <w:szCs w:val="24"/>
              </w:rPr>
              <w:t>；与ACC系统核对VIP身份证过闸数据、信用取票过闸数据、购票取票数据等，并完成对应的账务核对与结算工作。</w:t>
            </w:r>
          </w:p>
        </w:tc>
      </w:tr>
    </w:tbl>
    <w:p>
      <w:pPr>
        <w:pStyle w:val="41"/>
        <w:numPr>
          <w:ilvl w:val="0"/>
          <w:numId w:val="9"/>
        </w:numPr>
        <w:spacing w:line="360" w:lineRule="auto"/>
        <w:rPr>
          <w:szCs w:val="24"/>
        </w:rPr>
      </w:pPr>
      <w:bookmarkStart w:id="26" w:name="_Toc503218102"/>
      <w:r>
        <w:rPr>
          <w:rFonts w:hint="eastAsia"/>
          <w:szCs w:val="24"/>
        </w:rPr>
        <w:t>报表管理功能</w:t>
      </w:r>
      <w:bookmarkEnd w:id="26"/>
    </w:p>
    <w:p>
      <w:pPr>
        <w:pStyle w:val="41"/>
        <w:spacing w:line="360" w:lineRule="auto"/>
        <w:rPr>
          <w:szCs w:val="24"/>
        </w:rPr>
      </w:pPr>
      <w:r>
        <w:rPr>
          <w:rFonts w:hint="eastAsia"/>
          <w:szCs w:val="24"/>
        </w:rPr>
        <w:t>报表管理包括运营报表管理、资金结算报表管理等功能，包括但不限于以下报表内容：</w:t>
      </w:r>
    </w:p>
    <w:p>
      <w:pPr>
        <w:pStyle w:val="41"/>
        <w:numPr>
          <w:ilvl w:val="0"/>
          <w:numId w:val="13"/>
        </w:numPr>
        <w:spacing w:line="360" w:lineRule="auto"/>
        <w:rPr>
          <w:szCs w:val="24"/>
        </w:rPr>
      </w:pPr>
      <w:r>
        <w:rPr>
          <w:rFonts w:hint="eastAsia"/>
          <w:szCs w:val="24"/>
        </w:rPr>
        <w:t>用户活跃度统计表（日</w:t>
      </w:r>
      <w:r>
        <w:rPr>
          <w:szCs w:val="24"/>
        </w:rPr>
        <w:t>/</w:t>
      </w:r>
      <w:r>
        <w:rPr>
          <w:rFonts w:hint="eastAsia"/>
          <w:szCs w:val="24"/>
        </w:rPr>
        <w:t>月</w:t>
      </w:r>
      <w:r>
        <w:rPr>
          <w:szCs w:val="24"/>
        </w:rPr>
        <w:t>/</w:t>
      </w:r>
      <w:r>
        <w:rPr>
          <w:rFonts w:hint="eastAsia"/>
          <w:szCs w:val="24"/>
        </w:rPr>
        <w:t>年）</w:t>
      </w:r>
    </w:p>
    <w:p>
      <w:pPr>
        <w:pStyle w:val="41"/>
        <w:numPr>
          <w:ilvl w:val="0"/>
          <w:numId w:val="13"/>
        </w:numPr>
        <w:spacing w:line="360" w:lineRule="auto"/>
        <w:rPr>
          <w:szCs w:val="24"/>
        </w:rPr>
      </w:pPr>
      <w:r>
        <w:rPr>
          <w:rFonts w:hint="eastAsia"/>
          <w:szCs w:val="24"/>
        </w:rPr>
        <w:t>新增用户统计表（月</w:t>
      </w:r>
      <w:r>
        <w:rPr>
          <w:szCs w:val="24"/>
        </w:rPr>
        <w:t>/</w:t>
      </w:r>
      <w:r>
        <w:rPr>
          <w:rFonts w:hint="eastAsia"/>
          <w:szCs w:val="24"/>
        </w:rPr>
        <w:t>季</w:t>
      </w:r>
      <w:r>
        <w:rPr>
          <w:szCs w:val="24"/>
        </w:rPr>
        <w:t>/</w:t>
      </w:r>
      <w:r>
        <w:rPr>
          <w:rFonts w:hint="eastAsia"/>
          <w:szCs w:val="24"/>
        </w:rPr>
        <w:t>年）</w:t>
      </w:r>
    </w:p>
    <w:p>
      <w:pPr>
        <w:pStyle w:val="41"/>
        <w:numPr>
          <w:ilvl w:val="0"/>
          <w:numId w:val="13"/>
        </w:numPr>
        <w:spacing w:line="360" w:lineRule="auto"/>
        <w:rPr>
          <w:szCs w:val="24"/>
        </w:rPr>
      </w:pPr>
      <w:r>
        <w:rPr>
          <w:rFonts w:hint="eastAsia"/>
          <w:szCs w:val="24"/>
        </w:rPr>
        <w:t>订单支付分类统计表（按支付渠道，日</w:t>
      </w:r>
      <w:r>
        <w:rPr>
          <w:szCs w:val="24"/>
        </w:rPr>
        <w:t>/</w:t>
      </w:r>
      <w:r>
        <w:rPr>
          <w:rFonts w:hint="eastAsia"/>
          <w:szCs w:val="24"/>
        </w:rPr>
        <w:t>月</w:t>
      </w:r>
      <w:r>
        <w:rPr>
          <w:szCs w:val="24"/>
        </w:rPr>
        <w:t>/</w:t>
      </w:r>
      <w:r>
        <w:rPr>
          <w:rFonts w:hint="eastAsia"/>
          <w:szCs w:val="24"/>
        </w:rPr>
        <w:t>年）</w:t>
      </w:r>
    </w:p>
    <w:p>
      <w:pPr>
        <w:pStyle w:val="41"/>
        <w:numPr>
          <w:ilvl w:val="0"/>
          <w:numId w:val="13"/>
        </w:numPr>
        <w:spacing w:line="360" w:lineRule="auto"/>
        <w:rPr>
          <w:szCs w:val="24"/>
        </w:rPr>
      </w:pPr>
      <w:r>
        <w:rPr>
          <w:rFonts w:hint="eastAsia"/>
          <w:szCs w:val="24"/>
        </w:rPr>
        <w:t>订单受理分类统计表（按受理类型，日</w:t>
      </w:r>
      <w:r>
        <w:rPr>
          <w:szCs w:val="24"/>
        </w:rPr>
        <w:t>/</w:t>
      </w:r>
      <w:r>
        <w:rPr>
          <w:rFonts w:hint="eastAsia"/>
          <w:szCs w:val="24"/>
        </w:rPr>
        <w:t>月</w:t>
      </w:r>
      <w:r>
        <w:rPr>
          <w:szCs w:val="24"/>
        </w:rPr>
        <w:t>/</w:t>
      </w:r>
      <w:r>
        <w:rPr>
          <w:rFonts w:hint="eastAsia"/>
          <w:szCs w:val="24"/>
        </w:rPr>
        <w:t>年）</w:t>
      </w:r>
    </w:p>
    <w:p>
      <w:pPr>
        <w:pStyle w:val="41"/>
        <w:numPr>
          <w:ilvl w:val="0"/>
          <w:numId w:val="13"/>
        </w:numPr>
        <w:spacing w:line="360" w:lineRule="auto"/>
        <w:rPr>
          <w:szCs w:val="24"/>
        </w:rPr>
      </w:pPr>
      <w:r>
        <w:rPr>
          <w:rFonts w:hint="eastAsia"/>
          <w:szCs w:val="24"/>
        </w:rPr>
        <w:t>线路</w:t>
      </w:r>
      <w:r>
        <w:rPr>
          <w:szCs w:val="24"/>
        </w:rPr>
        <w:t>/</w:t>
      </w:r>
      <w:r>
        <w:rPr>
          <w:rFonts w:hint="eastAsia"/>
          <w:szCs w:val="24"/>
        </w:rPr>
        <w:t>车站</w:t>
      </w:r>
      <w:r>
        <w:rPr>
          <w:szCs w:val="24"/>
        </w:rPr>
        <w:t>/</w:t>
      </w:r>
      <w:r>
        <w:rPr>
          <w:rFonts w:hint="eastAsia"/>
          <w:szCs w:val="24"/>
        </w:rPr>
        <w:t>终端设备交易统计表（日</w:t>
      </w:r>
      <w:r>
        <w:rPr>
          <w:szCs w:val="24"/>
        </w:rPr>
        <w:t>/</w:t>
      </w:r>
      <w:r>
        <w:rPr>
          <w:rFonts w:hint="eastAsia"/>
          <w:szCs w:val="24"/>
        </w:rPr>
        <w:t>月</w:t>
      </w:r>
      <w:r>
        <w:rPr>
          <w:szCs w:val="24"/>
        </w:rPr>
        <w:t>/</w:t>
      </w:r>
      <w:r>
        <w:rPr>
          <w:rFonts w:hint="eastAsia"/>
          <w:szCs w:val="24"/>
        </w:rPr>
        <w:t>年）</w:t>
      </w:r>
    </w:p>
    <w:p>
      <w:pPr>
        <w:pStyle w:val="41"/>
        <w:numPr>
          <w:ilvl w:val="0"/>
          <w:numId w:val="9"/>
        </w:numPr>
        <w:spacing w:line="360" w:lineRule="auto"/>
        <w:rPr>
          <w:szCs w:val="24"/>
        </w:rPr>
      </w:pPr>
      <w:bookmarkStart w:id="27" w:name="_Toc503218103"/>
      <w:r>
        <w:rPr>
          <w:rFonts w:hint="eastAsia"/>
          <w:szCs w:val="24"/>
        </w:rPr>
        <w:t>时钟同步</w:t>
      </w:r>
      <w:bookmarkEnd w:id="27"/>
    </w:p>
    <w:p>
      <w:pPr>
        <w:spacing w:after="156"/>
        <w:ind w:left="420"/>
      </w:pPr>
      <w:r>
        <w:rPr>
          <w:rFonts w:hint="eastAsia"/>
        </w:rPr>
        <w:t>多元化支付平台与ACC时钟同步</w:t>
      </w:r>
    </w:p>
    <w:p>
      <w:pPr>
        <w:pStyle w:val="41"/>
        <w:numPr>
          <w:ilvl w:val="0"/>
          <w:numId w:val="9"/>
        </w:numPr>
        <w:spacing w:line="360" w:lineRule="auto"/>
        <w:rPr>
          <w:szCs w:val="24"/>
        </w:rPr>
      </w:pPr>
      <w:bookmarkStart w:id="28" w:name="_Toc503218104"/>
      <w:r>
        <w:rPr>
          <w:rFonts w:hint="eastAsia"/>
          <w:szCs w:val="24"/>
        </w:rPr>
        <w:t>防复制功能</w:t>
      </w:r>
      <w:bookmarkEnd w:id="28"/>
    </w:p>
    <w:p>
      <w:pPr>
        <w:spacing w:after="156"/>
        <w:ind w:left="420"/>
      </w:pPr>
      <w:r>
        <w:rPr>
          <w:rFonts w:hint="eastAsia"/>
        </w:rPr>
        <w:t>多元化支付平台需实现闸机终端的防复制管理功能。</w:t>
      </w:r>
    </w:p>
    <w:p>
      <w:pPr>
        <w:pStyle w:val="3"/>
        <w:rPr>
          <w:color w:val="E46C0A" w:themeColor="accent6" w:themeShade="BF"/>
        </w:rPr>
      </w:pPr>
      <w:bookmarkStart w:id="29" w:name="_Toc5520"/>
      <w:r>
        <w:rPr>
          <w:rFonts w:hint="eastAsia"/>
          <w:color w:val="E46C0A" w:themeColor="accent6" w:themeShade="BF"/>
        </w:rPr>
        <w:t>业务流程架构</w:t>
      </w:r>
      <w:bookmarkEnd w:id="29"/>
    </w:p>
    <w:p>
      <w:pPr>
        <w:spacing w:after="156"/>
      </w:pPr>
      <w:r>
        <w:rPr>
          <w:sz w:val="28"/>
          <w:szCs w:val="28"/>
        </w:rPr>
        <w:drawing>
          <wp:inline distT="0" distB="0" distL="0" distR="0">
            <wp:extent cx="5260975" cy="1729105"/>
            <wp:effectExtent l="0" t="0" r="0" b="4445"/>
            <wp:docPr id="46" name="图片 46" descr="C:\Users\ZYTJ-SYY\Desktop\业务流程.png业务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C:\Users\ZYTJ-SYY\Desktop\业务流程.png业务流程"/>
                    <pic:cNvPicPr>
                      <a:picLocks noChangeAspect="1"/>
                    </pic:cNvPicPr>
                  </pic:nvPicPr>
                  <pic:blipFill>
                    <a:blip r:embed="rId17"/>
                    <a:srcRect/>
                    <a:stretch>
                      <a:fillRect/>
                    </a:stretch>
                  </pic:blipFill>
                  <pic:spPr>
                    <a:xfrm>
                      <a:off x="0" y="0"/>
                      <a:ext cx="5284623" cy="1736947"/>
                    </a:xfrm>
                    <a:prstGeom prst="rect">
                      <a:avLst/>
                    </a:prstGeom>
                  </pic:spPr>
                </pic:pic>
              </a:graphicData>
            </a:graphic>
          </wp:inline>
        </w:drawing>
      </w:r>
    </w:p>
    <w:p>
      <w:pPr>
        <w:spacing w:after="156"/>
        <w:rPr>
          <w:b/>
          <w:bCs/>
        </w:rPr>
      </w:pPr>
      <w:r>
        <w:rPr>
          <w:rFonts w:hint="eastAsia"/>
          <w:b/>
          <w:bCs/>
        </w:rPr>
        <w:tab/>
      </w:r>
      <w:bookmarkStart w:id="30" w:name="_Toc3740"/>
      <w:r>
        <w:rPr>
          <w:rFonts w:hint="eastAsia"/>
          <w:b/>
          <w:bCs/>
        </w:rPr>
        <w:t>本案两大优点：</w:t>
      </w:r>
      <w:bookmarkEnd w:id="30"/>
    </w:p>
    <w:p>
      <w:pPr>
        <w:pStyle w:val="53"/>
        <w:numPr>
          <w:ilvl w:val="0"/>
          <w:numId w:val="14"/>
        </w:numPr>
        <w:spacing w:after="100" w:afterAutospacing="1" w:line="360" w:lineRule="auto"/>
        <w:ind w:left="777" w:hanging="357" w:firstLineChars="0"/>
      </w:pPr>
      <w:r>
        <w:rPr>
          <w:rFonts w:hint="eastAsia"/>
        </w:rPr>
        <w:t>支持双离线：即闸机和手机双脱机情况下，允许乘客过闸，先享后付，不造成客流拥挤</w:t>
      </w:r>
    </w:p>
    <w:p>
      <w:pPr>
        <w:pStyle w:val="53"/>
        <w:numPr>
          <w:ilvl w:val="0"/>
          <w:numId w:val="14"/>
        </w:numPr>
        <w:spacing w:after="100" w:afterAutospacing="1" w:line="360" w:lineRule="auto"/>
        <w:ind w:left="777" w:hanging="357" w:firstLineChars="0"/>
      </w:pPr>
      <w:r>
        <w:rPr>
          <w:rFonts w:hint="eastAsia"/>
        </w:rPr>
        <w:t>信用兜底：对二维码票卡产生的非正常交易，由</w:t>
      </w:r>
      <w:r>
        <w:t>APP</w:t>
      </w:r>
      <w:r>
        <w:rPr>
          <w:rFonts w:hint="eastAsia"/>
        </w:rPr>
        <w:t>运营方先行支付给业主，再由</w:t>
      </w:r>
      <w:r>
        <w:t>APP</w:t>
      </w:r>
      <w:r>
        <w:rPr>
          <w:rFonts w:hint="eastAsia"/>
        </w:rPr>
        <w:t>运营方向用户追诉，如果用户出现拒付等非正常情况，由</w:t>
      </w:r>
      <w:r>
        <w:t>APP</w:t>
      </w:r>
      <w:r>
        <w:rPr>
          <w:rFonts w:hint="eastAsia"/>
        </w:rPr>
        <w:t>运营方根据业务协议进行降权、信用降级、加入黑名单、账户禁用、通知芝麻信用等处理措施</w:t>
      </w:r>
    </w:p>
    <w:p>
      <w:pPr>
        <w:pStyle w:val="53"/>
        <w:numPr>
          <w:ilvl w:val="0"/>
          <w:numId w:val="14"/>
        </w:numPr>
        <w:spacing w:after="100" w:afterAutospacing="1" w:line="360" w:lineRule="auto"/>
        <w:ind w:left="777" w:hanging="357" w:firstLineChars="0"/>
      </w:pPr>
      <w:r>
        <w:rPr>
          <w:rFonts w:hint="eastAsia"/>
        </w:rPr>
        <w:t>多元化支付平台：部署于业主机房的，实现AFC网络与外部网络之间的安全访问，具有交易存储、报表分析、平台对账、用户账户管理等功能，负责接收、转发终端设备的电子票务交易数据的私有云平台</w:t>
      </w:r>
    </w:p>
    <w:p>
      <w:pPr>
        <w:pStyle w:val="2"/>
      </w:pPr>
      <w:bookmarkStart w:id="31" w:name="_Toc503218111"/>
      <w:bookmarkStart w:id="32" w:name="_Toc1807"/>
      <w:r>
        <w:rPr>
          <w:rFonts w:hint="eastAsia"/>
        </w:rPr>
        <w:t>改造和建设内容</w:t>
      </w:r>
      <w:bookmarkEnd w:id="31"/>
      <w:bookmarkEnd w:id="32"/>
    </w:p>
    <w:p>
      <w:pPr>
        <w:pStyle w:val="3"/>
        <w:rPr>
          <w:color w:val="E46C0A" w:themeColor="accent6" w:themeShade="BF"/>
        </w:rPr>
      </w:pPr>
      <w:bookmarkStart w:id="33" w:name="_Ref493515552"/>
      <w:bookmarkStart w:id="34" w:name="_Toc503218120"/>
      <w:bookmarkStart w:id="35" w:name="_Toc26220"/>
      <w:r>
        <w:rPr>
          <w:rFonts w:hint="eastAsia"/>
          <w:color w:val="E46C0A" w:themeColor="accent6" w:themeShade="BF"/>
        </w:rPr>
        <w:t>ACC系统改造</w:t>
      </w:r>
      <w:bookmarkEnd w:id="33"/>
      <w:bookmarkEnd w:id="34"/>
      <w:bookmarkEnd w:id="35"/>
    </w:p>
    <w:p>
      <w:pPr>
        <w:pStyle w:val="5"/>
      </w:pPr>
      <w:bookmarkStart w:id="36" w:name="_Toc503218121"/>
      <w:r>
        <w:rPr>
          <w:rFonts w:hint="eastAsia"/>
        </w:rPr>
        <w:t>与多元化支付平台数据交互</w:t>
      </w:r>
      <w:bookmarkEnd w:id="36"/>
    </w:p>
    <w:p>
      <w:pPr>
        <w:spacing w:after="156"/>
        <w:ind w:firstLine="420"/>
      </w:pPr>
      <w:r>
        <w:rPr>
          <w:rFonts w:hint="eastAsia"/>
        </w:rPr>
        <w:t>车站闸机的二维码票卡原始交易数据首先通过SC、LC上传至ACC，ACC需要实现与多元化支付平台之间的数据接口以及对账接口。</w:t>
      </w:r>
    </w:p>
    <w:p>
      <w:pPr>
        <w:pStyle w:val="5"/>
      </w:pPr>
      <w:bookmarkStart w:id="37" w:name="_Toc503218122"/>
      <w:r>
        <w:rPr>
          <w:rFonts w:hint="eastAsia"/>
        </w:rPr>
        <w:t>接收LC上传的二维码票卡交易数据并转发</w:t>
      </w:r>
      <w:bookmarkEnd w:id="37"/>
    </w:p>
    <w:p>
      <w:pPr>
        <w:spacing w:after="156"/>
        <w:ind w:firstLine="420"/>
      </w:pPr>
      <w:r>
        <w:rPr>
          <w:rFonts w:hint="eastAsia"/>
        </w:rPr>
        <w:t>ACC需支持处理LC上传的二维码票卡原始交易数据。</w:t>
      </w:r>
    </w:p>
    <w:p>
      <w:pPr>
        <w:spacing w:after="156"/>
        <w:ind w:firstLine="420"/>
      </w:pPr>
      <w:r>
        <w:rPr>
          <w:rFonts w:hint="eastAsia"/>
        </w:rPr>
        <w:t>ACC需将接收到的原始交易数据，存储到数据库中，并进行后续处理。</w:t>
      </w:r>
    </w:p>
    <w:p>
      <w:pPr>
        <w:spacing w:after="156"/>
        <w:ind w:firstLine="420"/>
      </w:pPr>
      <w:r>
        <w:rPr>
          <w:rFonts w:hint="eastAsia"/>
        </w:rPr>
        <w:t>ACC需将接收到的原始交易数据，实时转发给多元化支付平台。</w:t>
      </w:r>
    </w:p>
    <w:p>
      <w:pPr>
        <w:pStyle w:val="5"/>
      </w:pPr>
      <w:bookmarkStart w:id="38" w:name="_Toc503218123"/>
      <w:r>
        <w:rPr>
          <w:rFonts w:hint="eastAsia"/>
        </w:rPr>
        <w:t>支持二维码票卡交易数据处理</w:t>
      </w:r>
      <w:bookmarkEnd w:id="38"/>
    </w:p>
    <w:p>
      <w:pPr>
        <w:spacing w:afterLines="0"/>
        <w:ind w:firstLine="420"/>
      </w:pPr>
      <w:r>
        <w:rPr>
          <w:rFonts w:hint="eastAsia"/>
        </w:rPr>
        <w:t>ACC需实现二维码票卡交易的融对处理，根据拟定的融对规则，对同一用户的进出站交易进行融对，根据票价参数计算票价；并根据票价参数对可能出现的单边交易进行计价。生成对账文件，与多元化支付平台进行对账。</w:t>
      </w:r>
    </w:p>
    <w:p>
      <w:pPr>
        <w:spacing w:afterLines="0"/>
        <w:ind w:firstLine="420"/>
      </w:pPr>
      <w:r>
        <w:rPr>
          <w:rFonts w:hint="eastAsia"/>
        </w:rPr>
        <w:t>ACC需要实现二维码票卡交易的清分。根据融对后的交易，对交易按清分规则进行清分。对可能的单边交易，根据地铁公司确定的清分规则处理。</w:t>
      </w:r>
    </w:p>
    <w:p>
      <w:pPr>
        <w:pStyle w:val="5"/>
      </w:pPr>
      <w:bookmarkStart w:id="39" w:name="_Toc503218124"/>
      <w:r>
        <w:rPr>
          <w:rFonts w:hint="eastAsia"/>
        </w:rPr>
        <w:t>密钥管理和下发</w:t>
      </w:r>
      <w:bookmarkEnd w:id="39"/>
    </w:p>
    <w:p>
      <w:pPr>
        <w:spacing w:after="156"/>
        <w:ind w:firstLine="420"/>
      </w:pPr>
      <w:r>
        <w:rPr>
          <w:rFonts w:hint="eastAsia"/>
        </w:rPr>
        <w:t>ACC管理所有终端的二维码票卡的机构公钥。多元化支付平台将机构公钥发送给ACC，由ACC将密钥下发到各LC。密钥管理和下发流程如下图：</w:t>
      </w:r>
    </w:p>
    <w:p>
      <w:pPr>
        <w:spacing w:after="156"/>
      </w:pPr>
      <w:r>
        <w:drawing>
          <wp:inline distT="0" distB="0" distL="0" distR="0">
            <wp:extent cx="5276850" cy="2505075"/>
            <wp:effectExtent l="19050" t="0" r="0" b="0"/>
            <wp:docPr id="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
                    <pic:cNvPicPr>
                      <a:picLocks noChangeAspect="1" noChangeArrowheads="1"/>
                    </pic:cNvPicPr>
                  </pic:nvPicPr>
                  <pic:blipFill>
                    <a:blip r:embed="rId18" cstate="print"/>
                    <a:srcRect/>
                    <a:stretch>
                      <a:fillRect/>
                    </a:stretch>
                  </pic:blipFill>
                  <pic:spPr>
                    <a:xfrm>
                      <a:off x="0" y="0"/>
                      <a:ext cx="5276850" cy="2505075"/>
                    </a:xfrm>
                    <a:prstGeom prst="rect">
                      <a:avLst/>
                    </a:prstGeom>
                    <a:noFill/>
                    <a:ln w="9525">
                      <a:noFill/>
                      <a:miter lim="800000"/>
                      <a:headEnd/>
                      <a:tailEnd/>
                    </a:ln>
                  </pic:spPr>
                </pic:pic>
              </a:graphicData>
            </a:graphic>
          </wp:inline>
        </w:drawing>
      </w:r>
    </w:p>
    <w:p>
      <w:pPr>
        <w:pStyle w:val="5"/>
      </w:pPr>
      <w:bookmarkStart w:id="40" w:name="_Toc503218125"/>
      <w:r>
        <w:rPr>
          <w:rFonts w:hint="eastAsia"/>
        </w:rPr>
        <w:t>参数管理发送</w:t>
      </w:r>
      <w:bookmarkEnd w:id="40"/>
    </w:p>
    <w:p>
      <w:pPr>
        <w:spacing w:after="156"/>
        <w:ind w:firstLine="420"/>
      </w:pPr>
      <w:r>
        <w:rPr>
          <w:rFonts w:hint="eastAsia"/>
        </w:rPr>
        <w:t>ACC需要将运营参数如票价参数、线网运行时间等发送给多元化支付平台。</w:t>
      </w:r>
    </w:p>
    <w:p>
      <w:pPr>
        <w:pStyle w:val="3"/>
        <w:rPr>
          <w:color w:val="E46C0A" w:themeColor="accent6" w:themeShade="BF"/>
        </w:rPr>
      </w:pPr>
      <w:bookmarkStart w:id="41" w:name="_Toc503218119"/>
      <w:bookmarkStart w:id="42" w:name="_Ref493515544"/>
      <w:bookmarkStart w:id="43" w:name="_Toc1974"/>
      <w:r>
        <w:rPr>
          <w:rFonts w:hint="eastAsia"/>
          <w:color w:val="E46C0A" w:themeColor="accent6" w:themeShade="BF"/>
        </w:rPr>
        <w:t>LC升级</w:t>
      </w:r>
      <w:bookmarkEnd w:id="41"/>
      <w:bookmarkEnd w:id="42"/>
      <w:bookmarkEnd w:id="43"/>
    </w:p>
    <w:p>
      <w:pPr>
        <w:pStyle w:val="5"/>
      </w:pPr>
      <w:r>
        <w:rPr>
          <w:rFonts w:hint="eastAsia"/>
        </w:rPr>
        <w:t>上传二维码票卡交易数据</w:t>
      </w:r>
    </w:p>
    <w:p>
      <w:pPr>
        <w:spacing w:after="156"/>
        <w:ind w:left="420"/>
      </w:pPr>
      <w:r>
        <w:rPr>
          <w:rFonts w:hint="eastAsia"/>
        </w:rPr>
        <w:t>LC需将SC上传的二维码票卡交易数据实时上传到ACC</w:t>
      </w:r>
    </w:p>
    <w:p>
      <w:pPr>
        <w:pStyle w:val="5"/>
      </w:pPr>
      <w:r>
        <w:rPr>
          <w:rFonts w:hint="eastAsia"/>
        </w:rPr>
        <w:t>统计二维码票卡使用次数</w:t>
      </w:r>
    </w:p>
    <w:p>
      <w:pPr>
        <w:spacing w:after="156"/>
        <w:ind w:left="420"/>
      </w:pPr>
      <w:r>
        <w:rPr>
          <w:rFonts w:hint="eastAsia"/>
        </w:rPr>
        <w:t>LC需统计本线路使用二维码票卡进站、出站的次数</w:t>
      </w:r>
    </w:p>
    <w:p>
      <w:pPr>
        <w:pStyle w:val="5"/>
      </w:pPr>
      <w:r>
        <w:rPr>
          <w:rFonts w:hint="eastAsia"/>
        </w:rPr>
        <w:t>下载二维码票卡机构公钥</w:t>
      </w:r>
    </w:p>
    <w:p>
      <w:pPr>
        <w:spacing w:after="156"/>
        <w:ind w:firstLine="420"/>
      </w:pPr>
      <w:r>
        <w:rPr>
          <w:rFonts w:hint="eastAsia"/>
        </w:rPr>
        <w:t>LC需接收来自ACC的密钥更新命令，下载密钥，并将密钥下发到各SC。</w:t>
      </w:r>
    </w:p>
    <w:p>
      <w:pPr>
        <w:pStyle w:val="3"/>
        <w:rPr>
          <w:color w:val="E46C0A" w:themeColor="accent6" w:themeShade="BF"/>
        </w:rPr>
      </w:pPr>
      <w:bookmarkStart w:id="44" w:name="_Toc5347"/>
      <w:r>
        <w:rPr>
          <w:rFonts w:hint="eastAsia"/>
          <w:color w:val="E46C0A" w:themeColor="accent6" w:themeShade="BF"/>
        </w:rPr>
        <w:t>SC系统改造</w:t>
      </w:r>
      <w:bookmarkEnd w:id="44"/>
    </w:p>
    <w:p>
      <w:pPr>
        <w:pStyle w:val="4"/>
        <w:spacing w:after="156"/>
        <w:ind w:left="960" w:right="240"/>
      </w:pPr>
      <w:bookmarkStart w:id="45" w:name="_Toc503218118"/>
      <w:bookmarkStart w:id="46" w:name="_Ref493515537"/>
      <w:bookmarkStart w:id="47" w:name="_Toc19631"/>
      <w:r>
        <w:rPr>
          <w:rFonts w:hint="eastAsia"/>
        </w:rPr>
        <w:t>票务管理程序升级</w:t>
      </w:r>
      <w:bookmarkEnd w:id="45"/>
      <w:bookmarkEnd w:id="46"/>
      <w:bookmarkEnd w:id="47"/>
    </w:p>
    <w:p>
      <w:pPr>
        <w:pStyle w:val="5"/>
      </w:pPr>
      <w:r>
        <w:rPr>
          <w:rFonts w:hint="eastAsia"/>
        </w:rPr>
        <w:t>上传二维码票卡交易数据</w:t>
      </w:r>
    </w:p>
    <w:p>
      <w:pPr>
        <w:spacing w:after="156"/>
        <w:ind w:left="420"/>
      </w:pPr>
      <w:r>
        <w:rPr>
          <w:rFonts w:hint="eastAsia"/>
        </w:rPr>
        <w:t>SC需将闸机终端上传的二维码票卡交易数据以实时上传到LC。</w:t>
      </w:r>
    </w:p>
    <w:p>
      <w:pPr>
        <w:pStyle w:val="5"/>
      </w:pPr>
      <w:r>
        <w:rPr>
          <w:rFonts w:hint="eastAsia"/>
        </w:rPr>
        <w:t>统计二维码票卡使用次数</w:t>
      </w:r>
    </w:p>
    <w:p>
      <w:pPr>
        <w:spacing w:after="156"/>
        <w:ind w:left="420"/>
      </w:pPr>
      <w:r>
        <w:rPr>
          <w:rFonts w:hint="eastAsia"/>
        </w:rPr>
        <w:t>SC需统计本站使用二维码票卡进站、出站的次数</w:t>
      </w:r>
    </w:p>
    <w:p>
      <w:pPr>
        <w:pStyle w:val="5"/>
      </w:pPr>
      <w:r>
        <w:rPr>
          <w:rFonts w:hint="eastAsia"/>
        </w:rPr>
        <w:t>下载二维码票卡机构公钥</w:t>
      </w:r>
    </w:p>
    <w:p>
      <w:pPr>
        <w:spacing w:after="156"/>
        <w:ind w:left="420"/>
      </w:pPr>
      <w:r>
        <w:rPr>
          <w:rFonts w:hint="eastAsia"/>
        </w:rPr>
        <w:t>SC需接收来自LC的密钥更新命令，下载密钥，并将密钥下发到各闸机终端。</w:t>
      </w:r>
    </w:p>
    <w:p>
      <w:pPr>
        <w:pStyle w:val="4"/>
        <w:spacing w:after="156"/>
        <w:ind w:left="960" w:right="240"/>
      </w:pPr>
      <w:bookmarkStart w:id="48" w:name="_Toc12293"/>
      <w:r>
        <w:rPr>
          <w:rFonts w:hint="eastAsia"/>
        </w:rPr>
        <w:t>闸机改造升级</w:t>
      </w:r>
      <w:bookmarkEnd w:id="48"/>
    </w:p>
    <w:p>
      <w:pPr>
        <w:pStyle w:val="5"/>
      </w:pPr>
      <w:bookmarkStart w:id="49" w:name="_Toc503218112"/>
      <w:r>
        <w:rPr>
          <w:rFonts w:hint="eastAsia"/>
        </w:rPr>
        <w:t>硬件改造</w:t>
      </w:r>
      <w:bookmarkEnd w:id="49"/>
    </w:p>
    <w:p>
      <w:pPr>
        <w:pStyle w:val="41"/>
        <w:spacing w:before="100" w:beforeAutospacing="1" w:after="100" w:afterAutospacing="1" w:line="360" w:lineRule="auto"/>
        <w:rPr>
          <w:rFonts w:ascii="黑体" w:hAnsi="黑体" w:cs="Times New Roman"/>
          <w:szCs w:val="32"/>
        </w:rPr>
      </w:pPr>
      <w:r>
        <w:rPr>
          <w:rFonts w:hint="eastAsia" w:ascii="黑体" w:hAnsi="黑体" w:cs="Times New Roman"/>
          <w:szCs w:val="32"/>
        </w:rPr>
        <w:t>采用在现有闸机上进行物理改造的模式进行，在闸机上安装二维码扫描设备，通过扫描设备扫描手机</w:t>
      </w:r>
      <w:r>
        <w:rPr>
          <w:rFonts w:ascii="黑体" w:hAnsi="黑体" w:cs="Times New Roman"/>
          <w:szCs w:val="32"/>
        </w:rPr>
        <w:t>APP</w:t>
      </w:r>
      <w:r>
        <w:rPr>
          <w:rFonts w:hint="eastAsia" w:ascii="黑体" w:hAnsi="黑体" w:cs="Times New Roman"/>
          <w:szCs w:val="32"/>
        </w:rPr>
        <w:t>生成进出站二维码来打开闸机。</w:t>
      </w:r>
    </w:p>
    <w:p>
      <w:pPr>
        <w:pStyle w:val="41"/>
        <w:numPr>
          <w:ilvl w:val="1"/>
          <w:numId w:val="10"/>
        </w:numPr>
        <w:spacing w:before="100" w:beforeAutospacing="1" w:after="100" w:afterAutospacing="1" w:line="360" w:lineRule="auto"/>
        <w:rPr>
          <w:szCs w:val="24"/>
        </w:rPr>
      </w:pPr>
      <w:bookmarkStart w:id="50" w:name="_Toc503218113"/>
      <w:r>
        <w:rPr>
          <w:rFonts w:hint="eastAsia"/>
          <w:szCs w:val="24"/>
        </w:rPr>
        <w:t>二维码扫描器硬件连接</w:t>
      </w:r>
      <w:bookmarkEnd w:id="50"/>
    </w:p>
    <w:p>
      <w:pPr>
        <w:pStyle w:val="41"/>
        <w:spacing w:before="100" w:beforeAutospacing="1" w:after="100" w:afterAutospacing="1" w:line="360" w:lineRule="auto"/>
        <w:rPr>
          <w:szCs w:val="24"/>
        </w:rPr>
      </w:pPr>
      <w:r>
        <w:rPr>
          <w:rFonts w:hint="eastAsia"/>
          <w:szCs w:val="24"/>
        </w:rPr>
        <w:t>二维码扫描设备是一个独立的完整的设备，设备功耗为1.</w:t>
      </w:r>
      <w:r>
        <w:rPr>
          <w:szCs w:val="24"/>
        </w:rPr>
        <w:t>75W</w:t>
      </w:r>
      <w:r>
        <w:rPr>
          <w:rFonts w:hint="eastAsia"/>
          <w:szCs w:val="24"/>
        </w:rPr>
        <w:t>，不需要单独供电，扫描设备直接和上位工控主机通过USB线进行通讯。</w:t>
      </w:r>
      <w:r>
        <w:rPr>
          <w:rFonts w:hint="eastAsia"/>
        </w:rPr>
        <w:t>二维码扫描器直接连接闸机内工控机空闲USB接口，不影响闸机内任何原有接线。</w:t>
      </w:r>
    </w:p>
    <w:p>
      <w:pPr>
        <w:spacing w:after="156"/>
      </w:pPr>
      <w:r>
        <w:rPr>
          <w:rFonts w:hint="eastAsia"/>
        </w:rPr>
        <w:drawing>
          <wp:inline distT="0" distB="0" distL="0" distR="0">
            <wp:extent cx="5274310" cy="2176780"/>
            <wp:effectExtent l="19050" t="0" r="2540" b="0"/>
            <wp:docPr id="3" name="图片 10" descr="二维码和工控主机通讯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二维码和工控主机通讯图.png"/>
                    <pic:cNvPicPr>
                      <a:picLocks noChangeAspect="1"/>
                    </pic:cNvPicPr>
                  </pic:nvPicPr>
                  <pic:blipFill>
                    <a:blip r:embed="rId19" cstate="print"/>
                    <a:stretch>
                      <a:fillRect/>
                    </a:stretch>
                  </pic:blipFill>
                  <pic:spPr>
                    <a:xfrm>
                      <a:off x="0" y="0"/>
                      <a:ext cx="5274310" cy="2176780"/>
                    </a:xfrm>
                    <a:prstGeom prst="rect">
                      <a:avLst/>
                    </a:prstGeom>
                  </pic:spPr>
                </pic:pic>
              </a:graphicData>
            </a:graphic>
          </wp:inline>
        </w:drawing>
      </w:r>
    </w:p>
    <w:p>
      <w:pPr>
        <w:spacing w:before="100" w:beforeAutospacing="1" w:after="100" w:afterLines="0" w:afterAutospacing="1"/>
        <w:ind w:firstLine="420"/>
      </w:pPr>
      <w:r>
        <w:t>USB</w:t>
      </w:r>
      <w:r>
        <w:rPr>
          <w:rFonts w:hint="eastAsia"/>
        </w:rPr>
        <w:t>数据线的设备接口端（RJ45接口）与二维码扫描器相连。</w:t>
      </w:r>
    </w:p>
    <w:p>
      <w:pPr>
        <w:spacing w:before="100" w:beforeAutospacing="1" w:after="100" w:afterLines="0" w:afterAutospacing="1"/>
      </w:pPr>
      <w:r>
        <w:tab/>
      </w:r>
      <w:r>
        <w:t>USB</w:t>
      </w:r>
      <w:r>
        <w:rPr>
          <w:rFonts w:hint="eastAsia"/>
        </w:rPr>
        <w:t>数据线的主机接口端（USB接口）与闸机工控主机相连。</w:t>
      </w:r>
    </w:p>
    <w:p>
      <w:pPr>
        <w:pStyle w:val="41"/>
        <w:numPr>
          <w:ilvl w:val="1"/>
          <w:numId w:val="10"/>
        </w:numPr>
        <w:spacing w:before="100" w:beforeAutospacing="1" w:after="100" w:afterAutospacing="1" w:line="360" w:lineRule="auto"/>
        <w:rPr>
          <w:szCs w:val="24"/>
        </w:rPr>
      </w:pPr>
      <w:r>
        <w:tab/>
      </w:r>
      <w:r>
        <w:rPr>
          <w:rFonts w:hint="eastAsia"/>
          <w:szCs w:val="24"/>
        </w:rPr>
        <w:t>二维码扫描器特点</w:t>
      </w:r>
    </w:p>
    <w:p>
      <w:pPr>
        <w:pStyle w:val="41"/>
        <w:numPr>
          <w:ilvl w:val="0"/>
          <w:numId w:val="15"/>
        </w:numPr>
        <w:spacing w:before="100" w:beforeAutospacing="1" w:after="100" w:afterAutospacing="1" w:line="360" w:lineRule="auto"/>
        <w:rPr>
          <w:szCs w:val="24"/>
        </w:rPr>
      </w:pPr>
      <w:r>
        <w:rPr>
          <w:rFonts w:hint="eastAsia"/>
          <w:szCs w:val="24"/>
        </w:rPr>
        <w:t>LCD阅读能力，能够识别显示在手机屏幕上的主要二维条码和各种一维条码</w:t>
      </w:r>
    </w:p>
    <w:p>
      <w:pPr>
        <w:pStyle w:val="41"/>
        <w:numPr>
          <w:ilvl w:val="0"/>
          <w:numId w:val="15"/>
        </w:numPr>
        <w:spacing w:before="100" w:beforeAutospacing="1" w:after="100" w:afterAutospacing="1" w:line="360" w:lineRule="auto"/>
        <w:rPr>
          <w:szCs w:val="24"/>
        </w:rPr>
      </w:pPr>
      <w:r>
        <w:rPr>
          <w:rFonts w:hint="eastAsia"/>
          <w:szCs w:val="24"/>
        </w:rPr>
        <w:t>高速阅读，对于不同的手机液晶屏幕，一般会具有不同的对比度、颜色和反射程度，该扫描器都可以快速识读。</w:t>
      </w:r>
    </w:p>
    <w:p>
      <w:pPr>
        <w:pStyle w:val="41"/>
        <w:numPr>
          <w:ilvl w:val="0"/>
          <w:numId w:val="15"/>
        </w:numPr>
        <w:spacing w:before="100" w:beforeAutospacing="1" w:after="100" w:afterAutospacing="1" w:line="360" w:lineRule="auto"/>
        <w:rPr>
          <w:szCs w:val="24"/>
        </w:rPr>
      </w:pPr>
      <w:r>
        <w:rPr>
          <w:rFonts w:hint="eastAsia"/>
          <w:szCs w:val="24"/>
        </w:rPr>
        <w:t>纸面码阅读能力，印刷在纸张上的主要二维码和各种一维条码也能被识读。</w:t>
      </w:r>
    </w:p>
    <w:p>
      <w:pPr>
        <w:pStyle w:val="41"/>
        <w:numPr>
          <w:ilvl w:val="0"/>
          <w:numId w:val="15"/>
        </w:numPr>
        <w:spacing w:before="100" w:beforeAutospacing="1" w:after="100" w:afterAutospacing="1" w:line="360" w:lineRule="auto"/>
        <w:rPr>
          <w:szCs w:val="24"/>
        </w:rPr>
      </w:pPr>
      <w:r>
        <w:rPr>
          <w:rFonts w:hint="eastAsia"/>
          <w:szCs w:val="24"/>
        </w:rPr>
        <w:t>易于使用，可以识读用户手册上提供的设置码对扫描器的参数进行设置，以使扫描器达到最佳工作状态。</w:t>
      </w:r>
    </w:p>
    <w:p>
      <w:pPr>
        <w:pStyle w:val="41"/>
        <w:numPr>
          <w:ilvl w:val="1"/>
          <w:numId w:val="10"/>
        </w:numPr>
        <w:spacing w:before="100" w:beforeAutospacing="1" w:after="100" w:afterAutospacing="1" w:line="360" w:lineRule="auto"/>
        <w:rPr>
          <w:szCs w:val="24"/>
        </w:rPr>
      </w:pPr>
      <w:r>
        <w:rPr>
          <w:rFonts w:hint="eastAsia"/>
          <w:szCs w:val="24"/>
        </w:rPr>
        <w:t>规格参数</w:t>
      </w:r>
    </w:p>
    <w:tbl>
      <w:tblPr>
        <w:tblStyle w:val="3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567"/>
        <w:gridCol w:w="1247"/>
        <w:gridCol w:w="5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4" w:type="dxa"/>
            <w:gridSpan w:val="4"/>
            <w:shd w:val="clear" w:color="auto" w:fill="auto"/>
          </w:tcPr>
          <w:p>
            <w:pPr>
              <w:tabs>
                <w:tab w:val="left" w:pos="2880"/>
              </w:tabs>
              <w:spacing w:before="60" w:after="156"/>
            </w:pPr>
            <w:r>
              <w:rPr>
                <w:rFonts w:hint="eastAsia"/>
              </w:rPr>
              <w:t>识读参数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pPr>
            <w:r>
              <w:rPr>
                <w:rFonts w:hint="eastAsia"/>
              </w:rPr>
              <w:t>图像传感器</w:t>
            </w:r>
          </w:p>
        </w:tc>
        <w:tc>
          <w:tcPr>
            <w:tcW w:w="6946" w:type="dxa"/>
            <w:gridSpan w:val="3"/>
            <w:shd w:val="clear" w:color="auto" w:fill="auto"/>
          </w:tcPr>
          <w:p>
            <w:pPr>
              <w:tabs>
                <w:tab w:val="left" w:pos="2880"/>
              </w:tabs>
              <w:spacing w:before="60" w:after="156"/>
            </w:pPr>
            <w:r>
              <w:rPr>
                <w:rFonts w:hint="eastAsia"/>
              </w:rPr>
              <w:t>CMOS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pPr>
            <w:r>
              <w:rPr>
                <w:rFonts w:hint="eastAsia"/>
              </w:rPr>
              <w:t>识读方式</w:t>
            </w:r>
          </w:p>
        </w:tc>
        <w:tc>
          <w:tcPr>
            <w:tcW w:w="6946" w:type="dxa"/>
            <w:gridSpan w:val="3"/>
            <w:shd w:val="clear" w:color="auto" w:fill="auto"/>
          </w:tcPr>
          <w:p>
            <w:pPr>
              <w:tabs>
                <w:tab w:val="left" w:pos="2880"/>
              </w:tabs>
              <w:spacing w:before="60" w:after="156"/>
            </w:pPr>
            <w:r>
              <w:rPr>
                <w:rFonts w:hint="eastAsia"/>
              </w:rPr>
              <w:t>752X480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pPr>
            <w:r>
              <w:rPr>
                <w:rFonts w:hint="eastAsia"/>
              </w:rPr>
              <w:t>接口</w:t>
            </w:r>
          </w:p>
        </w:tc>
        <w:tc>
          <w:tcPr>
            <w:tcW w:w="6946" w:type="dxa"/>
            <w:gridSpan w:val="3"/>
            <w:shd w:val="clear" w:color="auto" w:fill="auto"/>
          </w:tcPr>
          <w:p>
            <w:pPr>
              <w:tabs>
                <w:tab w:val="left" w:pos="2880"/>
              </w:tabs>
              <w:spacing w:before="60" w:after="156"/>
            </w:pPr>
            <w:r>
              <w:rPr>
                <w:rFonts w:hint="eastAsia"/>
              </w:rPr>
              <w:t>RS-232,USB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restart"/>
            <w:shd w:val="clear" w:color="auto" w:fill="auto"/>
          </w:tcPr>
          <w:p>
            <w:pPr>
              <w:tabs>
                <w:tab w:val="left" w:pos="2880"/>
              </w:tabs>
              <w:spacing w:before="60" w:after="156"/>
            </w:pPr>
          </w:p>
          <w:p>
            <w:pPr>
              <w:tabs>
                <w:tab w:val="left" w:pos="2880"/>
              </w:tabs>
              <w:spacing w:before="60" w:after="156"/>
            </w:pPr>
          </w:p>
          <w:p>
            <w:pPr>
              <w:tabs>
                <w:tab w:val="left" w:pos="2880"/>
              </w:tabs>
              <w:spacing w:before="60" w:after="156"/>
            </w:pPr>
          </w:p>
          <w:p>
            <w:pPr>
              <w:tabs>
                <w:tab w:val="left" w:pos="2880"/>
              </w:tabs>
              <w:spacing w:before="60" w:after="156"/>
            </w:pPr>
            <w:r>
              <w:rPr>
                <w:rFonts w:hint="eastAsia"/>
              </w:rPr>
              <w:t>识读码制</w:t>
            </w:r>
          </w:p>
        </w:tc>
        <w:tc>
          <w:tcPr>
            <w:tcW w:w="567" w:type="dxa"/>
            <w:shd w:val="clear" w:color="auto" w:fill="auto"/>
          </w:tcPr>
          <w:p>
            <w:pPr>
              <w:tabs>
                <w:tab w:val="left" w:pos="2880"/>
              </w:tabs>
              <w:spacing w:before="60" w:after="156"/>
            </w:pPr>
            <w:r>
              <w:rPr>
                <w:rFonts w:hint="eastAsia"/>
              </w:rPr>
              <w:t>2D</w:t>
            </w:r>
          </w:p>
        </w:tc>
        <w:tc>
          <w:tcPr>
            <w:tcW w:w="6379" w:type="dxa"/>
            <w:gridSpan w:val="2"/>
            <w:shd w:val="clear" w:color="auto" w:fill="auto"/>
          </w:tcPr>
          <w:p>
            <w:pPr>
              <w:tabs>
                <w:tab w:val="left" w:pos="2880"/>
              </w:tabs>
              <w:spacing w:before="60" w:after="156"/>
            </w:pPr>
            <w:r>
              <w:rPr>
                <w:rFonts w:hint="eastAsia"/>
              </w:rPr>
              <w:t>PDF417,</w:t>
            </w:r>
            <w:r>
              <w:t>D</w:t>
            </w:r>
            <w:r>
              <w:rPr>
                <w:rFonts w:hint="eastAsia"/>
              </w:rPr>
              <w:t>ata</w:t>
            </w:r>
            <w:r>
              <w:t xml:space="preserve"> M</w:t>
            </w:r>
            <w:r>
              <w:rPr>
                <w:rFonts w:hint="eastAsia"/>
              </w:rPr>
              <w:t>atrix，QR Code</w:t>
            </w:r>
            <w:r>
              <w:t>,</w:t>
            </w:r>
            <w:r>
              <w:rPr>
                <w:rFonts w:hint="eastAsia"/>
              </w:rPr>
              <w:t>汉信码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continue"/>
            <w:shd w:val="clear" w:color="auto" w:fill="auto"/>
          </w:tcPr>
          <w:p>
            <w:pPr>
              <w:tabs>
                <w:tab w:val="left" w:pos="2880"/>
              </w:tabs>
              <w:spacing w:before="60" w:after="156"/>
            </w:pPr>
          </w:p>
        </w:tc>
        <w:tc>
          <w:tcPr>
            <w:tcW w:w="567" w:type="dxa"/>
            <w:shd w:val="clear" w:color="auto" w:fill="auto"/>
          </w:tcPr>
          <w:p>
            <w:pPr>
              <w:tabs>
                <w:tab w:val="left" w:pos="2880"/>
              </w:tabs>
              <w:spacing w:before="60" w:after="156"/>
            </w:pPr>
          </w:p>
          <w:p>
            <w:pPr>
              <w:tabs>
                <w:tab w:val="left" w:pos="2880"/>
              </w:tabs>
              <w:spacing w:before="60" w:after="156"/>
            </w:pPr>
          </w:p>
          <w:p>
            <w:pPr>
              <w:tabs>
                <w:tab w:val="left" w:pos="2880"/>
              </w:tabs>
              <w:spacing w:before="60" w:after="156"/>
            </w:pPr>
          </w:p>
          <w:p>
            <w:pPr>
              <w:tabs>
                <w:tab w:val="left" w:pos="2880"/>
              </w:tabs>
              <w:spacing w:before="60" w:after="156"/>
            </w:pPr>
            <w:r>
              <w:rPr>
                <w:rFonts w:hint="eastAsia"/>
              </w:rPr>
              <w:t>1D</w:t>
            </w:r>
          </w:p>
        </w:tc>
        <w:tc>
          <w:tcPr>
            <w:tcW w:w="6379" w:type="dxa"/>
            <w:gridSpan w:val="2"/>
            <w:shd w:val="clear" w:color="auto" w:fill="auto"/>
          </w:tcPr>
          <w:p>
            <w:pPr>
              <w:tabs>
                <w:tab w:val="left" w:pos="2880"/>
              </w:tabs>
              <w:spacing w:before="60" w:after="156"/>
            </w:pPr>
            <w:r>
              <w:rPr>
                <w:rFonts w:hint="eastAsia"/>
              </w:rPr>
              <w:t>EAN-13,EAN-8,UPC-A,UPC-E,ISSN,ISBN,Codabar，Code</w:t>
            </w:r>
            <w:r>
              <w:t xml:space="preserve"> 128</w:t>
            </w:r>
            <w:r>
              <w:rPr>
                <w:rFonts w:hint="eastAsia"/>
              </w:rPr>
              <w:t>（包括FNC1\FNC2\FNC3子集），Code</w:t>
            </w:r>
            <w:r>
              <w:t xml:space="preserve"> 93</w:t>
            </w:r>
            <w:r>
              <w:rPr>
                <w:rFonts w:hint="eastAsia"/>
              </w:rPr>
              <w:t>，ITF-6,ITF-14,interleaved</w:t>
            </w:r>
            <w:r>
              <w:t xml:space="preserve"> 2 </w:t>
            </w:r>
            <w:r>
              <w:rPr>
                <w:rFonts w:hint="eastAsia"/>
              </w:rPr>
              <w:t>of</w:t>
            </w:r>
            <w:r>
              <w:t xml:space="preserve"> 5</w:t>
            </w:r>
            <w:r>
              <w:rPr>
                <w:rFonts w:hint="eastAsia"/>
              </w:rPr>
              <w:t>，</w:t>
            </w:r>
            <w:r>
              <w:t>I</w:t>
            </w:r>
            <w:r>
              <w:rPr>
                <w:rFonts w:hint="eastAsia"/>
              </w:rPr>
              <w:t>ndustrial</w:t>
            </w:r>
            <w:r>
              <w:t>2</w:t>
            </w:r>
            <w:r>
              <w:rPr>
                <w:rFonts w:hint="eastAsia"/>
              </w:rPr>
              <w:t>of</w:t>
            </w:r>
            <w:r>
              <w:t>5</w:t>
            </w:r>
            <w:r>
              <w:rPr>
                <w:rFonts w:hint="eastAsia"/>
              </w:rPr>
              <w:t>，Standard</w:t>
            </w:r>
            <w:r>
              <w:t>2</w:t>
            </w:r>
            <w:r>
              <w:rPr>
                <w:rFonts w:hint="eastAsia"/>
              </w:rPr>
              <w:t>of</w:t>
            </w:r>
            <w:r>
              <w:t>5</w:t>
            </w:r>
            <w:r>
              <w:rPr>
                <w:rFonts w:hint="eastAsia"/>
              </w:rPr>
              <w:t>，</w:t>
            </w:r>
            <w:r>
              <w:t>M</w:t>
            </w:r>
            <w:r>
              <w:rPr>
                <w:rFonts w:hint="eastAsia"/>
              </w:rPr>
              <w:t>atrix</w:t>
            </w:r>
            <w:r>
              <w:t>2</w:t>
            </w:r>
            <w:r>
              <w:rPr>
                <w:rFonts w:hint="eastAsia"/>
              </w:rPr>
              <w:t>of</w:t>
            </w:r>
            <w:r>
              <w:t>5</w:t>
            </w:r>
            <w:r>
              <w:rPr>
                <w:rFonts w:hint="eastAsia"/>
              </w:rPr>
              <w:t>，GS1 Databar（RSS-Expand，RSS-Limited，RSS-14）,</w:t>
            </w:r>
            <w:r>
              <w:t>C</w:t>
            </w:r>
            <w:r>
              <w:rPr>
                <w:rFonts w:hint="eastAsia"/>
              </w:rPr>
              <w:t>ode</w:t>
            </w:r>
            <w:r>
              <w:t>39</w:t>
            </w:r>
            <w:r>
              <w:rPr>
                <w:rFonts w:hint="eastAsia"/>
              </w:rPr>
              <w:t>（包括Code</w:t>
            </w:r>
            <w:r>
              <w:t xml:space="preserve"> 39 FULL ASCII</w:t>
            </w:r>
            <w:r>
              <w:rPr>
                <w:rFonts w:hint="eastAsia"/>
              </w:rPr>
              <w:t>）,Code</w:t>
            </w:r>
            <w:r>
              <w:t xml:space="preserve"> 11</w:t>
            </w:r>
            <w:r>
              <w:rPr>
                <w:rFonts w:hint="eastAsia"/>
              </w:rPr>
              <w:t>，MSI-Plessey，Plessey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pPr>
            <w:r>
              <w:rPr>
                <w:rFonts w:hint="eastAsia"/>
              </w:rPr>
              <w:t>识读模式</w:t>
            </w:r>
          </w:p>
        </w:tc>
        <w:tc>
          <w:tcPr>
            <w:tcW w:w="6946" w:type="dxa"/>
            <w:gridSpan w:val="3"/>
            <w:shd w:val="clear" w:color="auto" w:fill="auto"/>
          </w:tcPr>
          <w:p>
            <w:pPr>
              <w:tabs>
                <w:tab w:val="left" w:pos="2880"/>
              </w:tabs>
              <w:spacing w:before="60" w:after="156"/>
            </w:pPr>
            <w:r>
              <w:rPr>
                <w:rFonts w:hint="eastAsia"/>
              </w:rPr>
              <w:t>感应识读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pPr>
            <w:r>
              <w:rPr>
                <w:rFonts w:hint="eastAsia"/>
              </w:rPr>
              <w:t>识读精度</w:t>
            </w:r>
          </w:p>
        </w:tc>
        <w:tc>
          <w:tcPr>
            <w:tcW w:w="6946" w:type="dxa"/>
            <w:gridSpan w:val="3"/>
            <w:shd w:val="clear" w:color="auto" w:fill="auto"/>
          </w:tcPr>
          <w:p>
            <w:pPr>
              <w:tabs>
                <w:tab w:val="left" w:pos="2880"/>
              </w:tabs>
              <w:spacing w:before="60" w:after="156"/>
            </w:pPr>
            <w:r>
              <w:rPr>
                <w:rFonts w:hint="eastAsia"/>
              </w:rPr>
              <w:t>≥5mil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pPr>
            <w:r>
              <w:rPr>
                <w:rFonts w:hint="eastAsia"/>
              </w:rPr>
              <w:t>光源</w:t>
            </w:r>
          </w:p>
        </w:tc>
        <w:tc>
          <w:tcPr>
            <w:tcW w:w="6946" w:type="dxa"/>
            <w:gridSpan w:val="3"/>
            <w:shd w:val="clear" w:color="auto" w:fill="auto"/>
          </w:tcPr>
          <w:p>
            <w:pPr>
              <w:tabs>
                <w:tab w:val="left" w:pos="2880"/>
              </w:tabs>
              <w:spacing w:before="60" w:after="156"/>
            </w:pPr>
            <w:r>
              <w:rPr>
                <w:rFonts w:hint="eastAsia"/>
              </w:rPr>
              <w:t>White</w:t>
            </w:r>
            <w:r>
              <w:t xml:space="preserve"> 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pPr>
            <w:r>
              <w:rPr>
                <w:rFonts w:hint="eastAsia"/>
              </w:rPr>
              <w:t>读码窗口</w:t>
            </w:r>
          </w:p>
        </w:tc>
        <w:tc>
          <w:tcPr>
            <w:tcW w:w="6946" w:type="dxa"/>
            <w:gridSpan w:val="3"/>
            <w:shd w:val="clear" w:color="auto" w:fill="auto"/>
          </w:tcPr>
          <w:p>
            <w:pPr>
              <w:tabs>
                <w:tab w:val="left" w:pos="2880"/>
              </w:tabs>
              <w:spacing w:before="60" w:after="156"/>
            </w:pPr>
            <w:r>
              <w:rPr>
                <w:rFonts w:hint="eastAsia"/>
              </w:rPr>
              <w:t>31.</w:t>
            </w:r>
            <w:r>
              <w:t>5</w:t>
            </w:r>
            <w:r>
              <w:rPr>
                <w:rFonts w:hint="eastAsia"/>
              </w:rPr>
              <w:t>mm</w:t>
            </w:r>
            <w:r>
              <w:t>X46</w:t>
            </w:r>
            <w:r>
              <w:rPr>
                <w:rFonts w:hint="eastAsia"/>
              </w:rPr>
              <w:t>.</w:t>
            </w:r>
            <w:r>
              <w:t>5</w:t>
            </w:r>
            <w:r>
              <w:rPr>
                <w:rFonts w:hint="eastAsia"/>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pPr>
            <w:r>
              <w:rPr>
                <w:rFonts w:hint="eastAsia"/>
              </w:rPr>
              <w:t>打印对比度</w:t>
            </w:r>
          </w:p>
        </w:tc>
        <w:tc>
          <w:tcPr>
            <w:tcW w:w="6946" w:type="dxa"/>
            <w:gridSpan w:val="3"/>
            <w:shd w:val="clear" w:color="auto" w:fill="auto"/>
          </w:tcPr>
          <w:p>
            <w:pPr>
              <w:tabs>
                <w:tab w:val="left" w:pos="2880"/>
              </w:tabs>
              <w:spacing w:before="60" w:after="156"/>
            </w:pPr>
            <w:r>
              <w:rPr>
                <w:rFonts w:hint="eastAsi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pPr>
            <w:r>
              <w:rPr>
                <w:rFonts w:hint="eastAsia"/>
              </w:rPr>
              <w:t>视场角度</w:t>
            </w:r>
          </w:p>
        </w:tc>
        <w:tc>
          <w:tcPr>
            <w:tcW w:w="6946" w:type="dxa"/>
            <w:gridSpan w:val="3"/>
            <w:shd w:val="clear" w:color="auto" w:fill="auto"/>
          </w:tcPr>
          <w:p>
            <w:pPr>
              <w:tabs>
                <w:tab w:val="left" w:pos="2880"/>
              </w:tabs>
              <w:spacing w:before="60" w:after="156"/>
            </w:pPr>
            <w:r>
              <w:rPr>
                <w:rFonts w:hint="eastAsia"/>
              </w:rPr>
              <w:t>Horizontal：</w:t>
            </w:r>
            <w:r>
              <w:t>75</w:t>
            </w:r>
            <w:r>
              <w:rPr>
                <w:rFonts w:hint="eastAsia"/>
              </w:rPr>
              <w:t>°，Vertical：</w:t>
            </w:r>
            <w:r>
              <w:t>50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pPr>
            <w:r>
              <w:rPr>
                <w:rFonts w:hint="eastAsia"/>
              </w:rPr>
              <w:t>符号反差*</w:t>
            </w:r>
          </w:p>
        </w:tc>
        <w:tc>
          <w:tcPr>
            <w:tcW w:w="6946" w:type="dxa"/>
            <w:gridSpan w:val="3"/>
            <w:shd w:val="clear" w:color="auto" w:fill="auto"/>
          </w:tcPr>
          <w:p>
            <w:pPr>
              <w:tabs>
                <w:tab w:val="left" w:pos="2880"/>
              </w:tabs>
              <w:spacing w:before="60" w:after="156"/>
            </w:pPr>
            <w:r>
              <w:rPr>
                <w:rFonts w:hint="eastAsia"/>
              </w:rPr>
              <w:t>≥</w:t>
            </w:r>
            <w:r>
              <w:t>25</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restart"/>
            <w:shd w:val="clear" w:color="auto" w:fill="auto"/>
          </w:tcPr>
          <w:p>
            <w:pPr>
              <w:tabs>
                <w:tab w:val="left" w:pos="2880"/>
              </w:tabs>
              <w:spacing w:before="60" w:after="156"/>
            </w:pPr>
          </w:p>
          <w:p>
            <w:pPr>
              <w:tabs>
                <w:tab w:val="left" w:pos="2880"/>
              </w:tabs>
              <w:spacing w:before="60" w:after="156"/>
            </w:pPr>
            <w:r>
              <w:rPr>
                <w:rFonts w:hint="eastAsia"/>
              </w:rPr>
              <w:t>条码灵敏度</w:t>
            </w:r>
          </w:p>
        </w:tc>
        <w:tc>
          <w:tcPr>
            <w:tcW w:w="1814" w:type="dxa"/>
            <w:gridSpan w:val="2"/>
            <w:shd w:val="clear" w:color="auto" w:fill="auto"/>
          </w:tcPr>
          <w:p>
            <w:pPr>
              <w:tabs>
                <w:tab w:val="left" w:pos="2880"/>
              </w:tabs>
              <w:spacing w:before="60" w:after="156"/>
            </w:pPr>
            <w:r>
              <w:rPr>
                <w:rFonts w:hint="eastAsia"/>
              </w:rPr>
              <w:t>倾斜（pitch）</w:t>
            </w:r>
          </w:p>
        </w:tc>
        <w:tc>
          <w:tcPr>
            <w:tcW w:w="5132" w:type="dxa"/>
            <w:shd w:val="clear" w:color="auto" w:fill="auto"/>
          </w:tcPr>
          <w:p>
            <w:pPr>
              <w:tabs>
                <w:tab w:val="left" w:pos="2880"/>
              </w:tabs>
              <w:spacing w:before="60" w:after="156"/>
            </w:pPr>
            <w:r>
              <w:rPr>
                <w:rFonts w:hint="eastAsia"/>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continue"/>
            <w:shd w:val="clear" w:color="auto" w:fill="auto"/>
          </w:tcPr>
          <w:p>
            <w:pPr>
              <w:tabs>
                <w:tab w:val="left" w:pos="2880"/>
              </w:tabs>
              <w:spacing w:before="60" w:after="156"/>
            </w:pPr>
          </w:p>
        </w:tc>
        <w:tc>
          <w:tcPr>
            <w:tcW w:w="1814" w:type="dxa"/>
            <w:gridSpan w:val="2"/>
            <w:shd w:val="clear" w:color="auto" w:fill="auto"/>
          </w:tcPr>
          <w:p>
            <w:pPr>
              <w:tabs>
                <w:tab w:val="left" w:pos="2880"/>
              </w:tabs>
              <w:spacing w:before="60" w:after="156"/>
            </w:pPr>
            <w:r>
              <w:rPr>
                <w:rFonts w:hint="eastAsia"/>
              </w:rPr>
              <w:t>旋转（tilt）</w:t>
            </w:r>
          </w:p>
        </w:tc>
        <w:tc>
          <w:tcPr>
            <w:tcW w:w="5132" w:type="dxa"/>
            <w:shd w:val="clear" w:color="auto" w:fill="auto"/>
          </w:tcPr>
          <w:p>
            <w:pPr>
              <w:tabs>
                <w:tab w:val="left" w:pos="2880"/>
              </w:tabs>
              <w:spacing w:before="60" w:after="156"/>
            </w:pPr>
            <w:r>
              <w:rPr>
                <w:rFonts w:hint="eastAsia"/>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continue"/>
            <w:shd w:val="clear" w:color="auto" w:fill="auto"/>
          </w:tcPr>
          <w:p>
            <w:pPr>
              <w:tabs>
                <w:tab w:val="left" w:pos="2880"/>
              </w:tabs>
              <w:spacing w:before="60" w:after="156"/>
            </w:pPr>
          </w:p>
        </w:tc>
        <w:tc>
          <w:tcPr>
            <w:tcW w:w="1814" w:type="dxa"/>
            <w:gridSpan w:val="2"/>
            <w:shd w:val="clear" w:color="auto" w:fill="auto"/>
          </w:tcPr>
          <w:p>
            <w:pPr>
              <w:tabs>
                <w:tab w:val="left" w:pos="2880"/>
              </w:tabs>
              <w:spacing w:before="60" w:after="156"/>
            </w:pPr>
            <w:r>
              <w:rPr>
                <w:rFonts w:hint="eastAsia"/>
              </w:rPr>
              <w:t>偏转（skew）</w:t>
            </w:r>
          </w:p>
        </w:tc>
        <w:tc>
          <w:tcPr>
            <w:tcW w:w="5132" w:type="dxa"/>
            <w:shd w:val="clear" w:color="auto" w:fill="auto"/>
          </w:tcPr>
          <w:p>
            <w:pPr>
              <w:tabs>
                <w:tab w:val="left" w:pos="2880"/>
              </w:tabs>
              <w:spacing w:before="60" w:after="156"/>
            </w:pPr>
            <w:r>
              <w:rPr>
                <w:rFonts w:hint="eastAsi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4" w:type="dxa"/>
            <w:gridSpan w:val="4"/>
            <w:shd w:val="clear" w:color="auto" w:fill="auto"/>
          </w:tcPr>
          <w:p>
            <w:pPr>
              <w:tabs>
                <w:tab w:val="left" w:pos="2880"/>
              </w:tabs>
              <w:spacing w:before="60" w:after="156"/>
            </w:pPr>
            <w:r>
              <w:rPr>
                <w:rFonts w:hint="eastAsia"/>
              </w:rPr>
              <w:t>机械/电气特性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center" w:pos="811"/>
              </w:tabs>
              <w:spacing w:before="60" w:after="156"/>
              <w:jc w:val="left"/>
            </w:pPr>
            <w:r>
              <w:rPr>
                <w:rFonts w:hint="eastAsia"/>
              </w:rPr>
              <w:t>最大功耗</w:t>
            </w:r>
          </w:p>
        </w:tc>
        <w:tc>
          <w:tcPr>
            <w:tcW w:w="6946" w:type="dxa"/>
            <w:gridSpan w:val="3"/>
            <w:shd w:val="clear" w:color="auto" w:fill="auto"/>
          </w:tcPr>
          <w:p>
            <w:pPr>
              <w:tabs>
                <w:tab w:val="left" w:pos="2880"/>
              </w:tabs>
              <w:spacing w:before="60" w:after="156"/>
              <w:jc w:val="left"/>
            </w:pPr>
            <w:r>
              <w:rPr>
                <w:rFonts w:hint="eastAsia"/>
              </w:rPr>
              <w:t>1.</w:t>
            </w:r>
            <w:r>
              <w:t>75W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jc w:val="left"/>
            </w:pPr>
            <w:r>
              <w:rPr>
                <w:rFonts w:hint="eastAsia"/>
              </w:rPr>
              <w:t>指示</w:t>
            </w:r>
          </w:p>
        </w:tc>
        <w:tc>
          <w:tcPr>
            <w:tcW w:w="6946" w:type="dxa"/>
            <w:gridSpan w:val="3"/>
            <w:shd w:val="clear" w:color="auto" w:fill="auto"/>
          </w:tcPr>
          <w:p>
            <w:pPr>
              <w:tabs>
                <w:tab w:val="left" w:pos="2880"/>
              </w:tabs>
              <w:spacing w:before="60" w:after="156"/>
              <w:jc w:val="left"/>
            </w:pPr>
            <w:r>
              <w:rPr>
                <w:rFonts w:hint="eastAsia"/>
              </w:rPr>
              <w:t>蜂鸣器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jc w:val="left"/>
            </w:pPr>
            <w:r>
              <w:rPr>
                <w:rFonts w:hint="eastAsia"/>
              </w:rPr>
              <w:t>尺寸</w:t>
            </w:r>
          </w:p>
        </w:tc>
        <w:tc>
          <w:tcPr>
            <w:tcW w:w="6946" w:type="dxa"/>
            <w:gridSpan w:val="3"/>
            <w:shd w:val="clear" w:color="auto" w:fill="auto"/>
          </w:tcPr>
          <w:p>
            <w:pPr>
              <w:tabs>
                <w:tab w:val="left" w:pos="2880"/>
              </w:tabs>
              <w:spacing w:before="60" w:after="156"/>
              <w:jc w:val="left"/>
            </w:pPr>
            <w:r>
              <w:rPr>
                <w:rFonts w:hint="eastAsia"/>
              </w:rPr>
              <w:t>78.</w:t>
            </w:r>
            <w:r>
              <w:t>7(W)X67.7(D)X53(H)mm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jc w:val="left"/>
            </w:pPr>
            <w:r>
              <w:rPr>
                <w:rFonts w:hint="eastAsia"/>
              </w:rPr>
              <w:t>重量</w:t>
            </w:r>
          </w:p>
        </w:tc>
        <w:tc>
          <w:tcPr>
            <w:tcW w:w="6946" w:type="dxa"/>
            <w:gridSpan w:val="3"/>
            <w:shd w:val="clear" w:color="auto" w:fill="auto"/>
          </w:tcPr>
          <w:p>
            <w:pPr>
              <w:tabs>
                <w:tab w:val="left" w:pos="2880"/>
              </w:tabs>
              <w:spacing w:before="60" w:after="156"/>
              <w:jc w:val="left"/>
            </w:pPr>
            <w:r>
              <w:t>173</w:t>
            </w:r>
            <w:r>
              <w:rPr>
                <w:rFonts w:hint="eastAsia"/>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jc w:val="left"/>
            </w:pPr>
            <w:r>
              <w:rPr>
                <w:rFonts w:hint="eastAsia"/>
              </w:rPr>
              <w:t>工作电压</w:t>
            </w:r>
          </w:p>
        </w:tc>
        <w:tc>
          <w:tcPr>
            <w:tcW w:w="6946" w:type="dxa"/>
            <w:gridSpan w:val="3"/>
            <w:shd w:val="clear" w:color="auto" w:fill="auto"/>
          </w:tcPr>
          <w:p>
            <w:pPr>
              <w:tabs>
                <w:tab w:val="left" w:pos="2880"/>
              </w:tabs>
              <w:spacing w:before="60" w:after="156"/>
              <w:jc w:val="left"/>
            </w:pPr>
            <w:r>
              <w:rPr>
                <w:rFonts w:hint="eastAsia"/>
              </w:rPr>
              <w:t>5VDC±5%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jc w:val="left"/>
            </w:pPr>
            <w:r>
              <w:rPr>
                <w:rFonts w:hint="eastAsia"/>
              </w:rPr>
              <w:t>额定功耗</w:t>
            </w:r>
          </w:p>
        </w:tc>
        <w:tc>
          <w:tcPr>
            <w:tcW w:w="6946" w:type="dxa"/>
            <w:gridSpan w:val="3"/>
            <w:shd w:val="clear" w:color="auto" w:fill="auto"/>
          </w:tcPr>
          <w:p>
            <w:pPr>
              <w:tabs>
                <w:tab w:val="left" w:pos="2880"/>
              </w:tabs>
              <w:spacing w:before="60" w:after="156"/>
              <w:jc w:val="left"/>
            </w:pPr>
            <w:r>
              <w:rPr>
                <w:rFonts w:hint="eastAsia"/>
              </w:rPr>
              <w:t>534m</w:t>
            </w:r>
            <w:r>
              <w:t>W</w:t>
            </w:r>
            <w:r>
              <w:rPr>
                <w:rFonts w:hint="eastAsia"/>
              </w:rPr>
              <w:t>（典型值）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jc w:val="left"/>
            </w:pPr>
            <w:r>
              <w:rPr>
                <w:rFonts w:hint="eastAsia"/>
              </w:rPr>
              <w:t>电流@</w:t>
            </w:r>
            <w:r>
              <w:t>5 VDC</w:t>
            </w:r>
          </w:p>
        </w:tc>
        <w:tc>
          <w:tcPr>
            <w:tcW w:w="6946" w:type="dxa"/>
            <w:gridSpan w:val="3"/>
            <w:shd w:val="clear" w:color="auto" w:fill="auto"/>
          </w:tcPr>
          <w:p>
            <w:pPr>
              <w:tabs>
                <w:tab w:val="left" w:pos="2880"/>
              </w:tabs>
              <w:spacing w:before="60" w:after="156"/>
              <w:jc w:val="left"/>
            </w:pPr>
            <w:r>
              <w:rPr>
                <w:rFonts w:hint="eastAsia"/>
              </w:rPr>
              <w:t>工作电流 108m</w:t>
            </w:r>
            <w:r>
              <w:t>A(</w:t>
            </w:r>
            <w:r>
              <w:rPr>
                <w:rFonts w:hint="eastAsia"/>
              </w:rPr>
              <w:t>典型值</w:t>
            </w:r>
            <w:r>
              <w:t>)</w:t>
            </w:r>
            <w:r>
              <w:rPr>
                <w:rFonts w:hint="eastAsia"/>
              </w:rPr>
              <w:t>，114m</w:t>
            </w:r>
            <w:r>
              <w:t>A</w:t>
            </w:r>
            <w:r>
              <w:rPr>
                <w:rFonts w:hint="eastAsia"/>
              </w:rPr>
              <w:t>（最大值）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4" w:type="dxa"/>
            <w:gridSpan w:val="4"/>
            <w:shd w:val="clear" w:color="auto" w:fill="auto"/>
          </w:tcPr>
          <w:p>
            <w:pPr>
              <w:tabs>
                <w:tab w:val="left" w:pos="2880"/>
              </w:tabs>
              <w:spacing w:before="60" w:after="156"/>
              <w:jc w:val="left"/>
            </w:pPr>
            <w:r>
              <w:rPr>
                <w:rFonts w:hint="eastAsia"/>
              </w:rPr>
              <w:t>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jc w:val="left"/>
            </w:pPr>
            <w:r>
              <w:rPr>
                <w:rFonts w:hint="eastAsia"/>
              </w:rPr>
              <w:t>工作温度</w:t>
            </w:r>
          </w:p>
        </w:tc>
        <w:tc>
          <w:tcPr>
            <w:tcW w:w="6946" w:type="dxa"/>
            <w:gridSpan w:val="3"/>
            <w:shd w:val="clear" w:color="auto" w:fill="auto"/>
          </w:tcPr>
          <w:p>
            <w:pPr>
              <w:tabs>
                <w:tab w:val="left" w:pos="2880"/>
              </w:tabs>
              <w:spacing w:before="60" w:after="156"/>
              <w:jc w:val="left"/>
            </w:pPr>
            <w:r>
              <w:rPr>
                <w:rFonts w:hint="eastAsia"/>
              </w:rPr>
              <w:t>-</w:t>
            </w:r>
            <w:r>
              <w:t>20</w:t>
            </w:r>
            <w:r>
              <w:rPr>
                <w:rFonts w:hint="eastAsia"/>
              </w:rPr>
              <w:t>℃~+</w:t>
            </w:r>
            <w:r>
              <w:t>60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jc w:val="left"/>
            </w:pPr>
            <w:r>
              <w:rPr>
                <w:rFonts w:hint="eastAsia"/>
              </w:rPr>
              <w:t>存储温度</w:t>
            </w:r>
          </w:p>
        </w:tc>
        <w:tc>
          <w:tcPr>
            <w:tcW w:w="6946" w:type="dxa"/>
            <w:gridSpan w:val="3"/>
            <w:shd w:val="clear" w:color="auto" w:fill="auto"/>
          </w:tcPr>
          <w:p>
            <w:pPr>
              <w:tabs>
                <w:tab w:val="left" w:pos="2880"/>
              </w:tabs>
              <w:spacing w:before="60" w:after="156"/>
              <w:jc w:val="left"/>
            </w:pPr>
            <w:r>
              <w:rPr>
                <w:rFonts w:hint="eastAsia"/>
              </w:rPr>
              <w:t>-</w:t>
            </w:r>
            <w:r>
              <w:t>40</w:t>
            </w:r>
            <w:r>
              <w:rPr>
                <w:rFonts w:hint="eastAsia"/>
              </w:rPr>
              <w:t>℃~+</w:t>
            </w:r>
            <w:r>
              <w:t>70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jc w:val="left"/>
            </w:pPr>
            <w:r>
              <w:rPr>
                <w:rFonts w:hint="eastAsia"/>
              </w:rPr>
              <w:t>湿度</w:t>
            </w:r>
          </w:p>
        </w:tc>
        <w:tc>
          <w:tcPr>
            <w:tcW w:w="6946" w:type="dxa"/>
            <w:gridSpan w:val="3"/>
            <w:shd w:val="clear" w:color="auto" w:fill="auto"/>
          </w:tcPr>
          <w:p>
            <w:pPr>
              <w:tabs>
                <w:tab w:val="left" w:pos="2880"/>
              </w:tabs>
              <w:spacing w:before="60" w:after="156"/>
              <w:jc w:val="left"/>
            </w:pPr>
            <w:r>
              <w:rPr>
                <w:rFonts w:hint="eastAsia"/>
              </w:rPr>
              <w:t>5%~</w:t>
            </w:r>
            <w:r>
              <w:t>95</w:t>
            </w:r>
            <w:r>
              <w:rPr>
                <w:rFonts w:hint="eastAsia"/>
              </w:rPr>
              <w:t>%（无凝结）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jc w:val="left"/>
            </w:pPr>
            <w:r>
              <w:rPr>
                <w:rFonts w:hint="eastAsia"/>
              </w:rPr>
              <w:t>环境光照度</w:t>
            </w:r>
          </w:p>
        </w:tc>
        <w:tc>
          <w:tcPr>
            <w:tcW w:w="6946" w:type="dxa"/>
            <w:gridSpan w:val="3"/>
            <w:shd w:val="clear" w:color="auto" w:fill="auto"/>
          </w:tcPr>
          <w:p>
            <w:pPr>
              <w:tabs>
                <w:tab w:val="left" w:pos="2880"/>
              </w:tabs>
              <w:spacing w:before="60" w:after="156"/>
              <w:jc w:val="left"/>
            </w:pPr>
            <w:r>
              <w:rPr>
                <w:rFonts w:hint="eastAsia"/>
              </w:rPr>
              <w:t>0~</w:t>
            </w:r>
            <w:r>
              <w:t>100</w:t>
            </w:r>
            <w:r>
              <w:rPr>
                <w:rFonts w:hint="eastAsia"/>
              </w:rPr>
              <w:t>，</w:t>
            </w:r>
            <w:r>
              <w:t>000LUX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jc w:val="left"/>
            </w:pPr>
            <w:r>
              <w:rPr>
                <w:rFonts w:hint="eastAsia"/>
              </w:rPr>
              <w:t>静电防护</w:t>
            </w:r>
          </w:p>
        </w:tc>
        <w:tc>
          <w:tcPr>
            <w:tcW w:w="6946" w:type="dxa"/>
            <w:gridSpan w:val="3"/>
            <w:shd w:val="clear" w:color="auto" w:fill="auto"/>
          </w:tcPr>
          <w:p>
            <w:pPr>
              <w:tabs>
                <w:tab w:val="left" w:pos="2880"/>
              </w:tabs>
              <w:spacing w:before="60" w:after="156"/>
              <w:jc w:val="left"/>
            </w:pPr>
            <w:r>
              <w:rPr>
                <w:rFonts w:hint="eastAsia"/>
              </w:rPr>
              <w:t>±8k</w:t>
            </w:r>
            <w:r>
              <w:t>V(</w:t>
            </w:r>
            <w:r>
              <w:rPr>
                <w:rFonts w:hint="eastAsia"/>
              </w:rPr>
              <w:t>空气放电</w:t>
            </w:r>
            <w:r>
              <w:t>)</w:t>
            </w:r>
            <w:r>
              <w:rPr>
                <w:rFonts w:hint="eastAsia"/>
              </w:rPr>
              <w:t>，±4k</w:t>
            </w:r>
            <w:r>
              <w:t>V(</w:t>
            </w:r>
            <w:r>
              <w:rPr>
                <w:rFonts w:hint="eastAsia"/>
              </w:rPr>
              <w:t>直接放电</w:t>
            </w:r>
            <w:r>
              <w: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tabs>
                <w:tab w:val="left" w:pos="2880"/>
              </w:tabs>
              <w:spacing w:before="60" w:after="156"/>
              <w:jc w:val="left"/>
            </w:pPr>
            <w:r>
              <w:rPr>
                <w:rFonts w:hint="eastAsia"/>
              </w:rPr>
              <w:t>国际认证</w:t>
            </w:r>
          </w:p>
        </w:tc>
        <w:tc>
          <w:tcPr>
            <w:tcW w:w="6946" w:type="dxa"/>
            <w:gridSpan w:val="3"/>
            <w:shd w:val="clear" w:color="auto" w:fill="auto"/>
          </w:tcPr>
          <w:p>
            <w:pPr>
              <w:tabs>
                <w:tab w:val="left" w:pos="2880"/>
              </w:tabs>
              <w:spacing w:before="60" w:after="156"/>
              <w:jc w:val="left"/>
            </w:pPr>
            <w:r>
              <w:rPr>
                <w:rFonts w:hint="eastAsia"/>
              </w:rPr>
              <w:t xml:space="preserve">FCC </w:t>
            </w:r>
            <w:r>
              <w:t>P</w:t>
            </w:r>
            <w:r>
              <w:rPr>
                <w:rFonts w:hint="eastAsia"/>
              </w:rPr>
              <w:t>art</w:t>
            </w:r>
            <w:r>
              <w:t>15 C</w:t>
            </w:r>
            <w:r>
              <w:rPr>
                <w:rFonts w:hint="eastAsia"/>
              </w:rPr>
              <w:t>lass</w:t>
            </w:r>
            <w:r>
              <w:t xml:space="preserve"> B</w:t>
            </w:r>
            <w:r>
              <w:rPr>
                <w:rFonts w:hint="eastAsia"/>
              </w:rPr>
              <w:t>，</w:t>
            </w:r>
            <w:r>
              <w:t>CE EMC C</w:t>
            </w:r>
            <w:r>
              <w:rPr>
                <w:rFonts w:hint="eastAsia"/>
              </w:rPr>
              <w:t>lass</w:t>
            </w:r>
            <w:r>
              <w:t xml:space="preserve"> B</w:t>
            </w:r>
          </w:p>
        </w:tc>
      </w:tr>
    </w:tbl>
    <w:p>
      <w:pPr>
        <w:pStyle w:val="41"/>
        <w:numPr>
          <w:ilvl w:val="1"/>
          <w:numId w:val="10"/>
        </w:numPr>
        <w:rPr>
          <w:szCs w:val="24"/>
        </w:rPr>
      </w:pPr>
      <w:r>
        <w:rPr>
          <w:rFonts w:hint="eastAsia"/>
          <w:szCs w:val="24"/>
        </w:rPr>
        <w:t>二维码扫描设备适用性</w:t>
      </w:r>
    </w:p>
    <w:p>
      <w:pPr>
        <w:pStyle w:val="41"/>
        <w:ind w:left="424" w:leftChars="177" w:firstLine="0"/>
        <w:rPr>
          <w:szCs w:val="24"/>
        </w:rPr>
      </w:pPr>
      <w:r>
        <w:rPr>
          <w:rFonts w:hint="eastAsia"/>
          <w:szCs w:val="24"/>
        </w:rPr>
        <w:t>A、可靠性</w:t>
      </w:r>
    </w:p>
    <w:p>
      <w:pPr>
        <w:pStyle w:val="41"/>
        <w:spacing w:line="360" w:lineRule="auto"/>
        <w:rPr>
          <w:szCs w:val="24"/>
        </w:rPr>
      </w:pPr>
      <w:r>
        <w:rPr>
          <w:rFonts w:hint="eastAsia"/>
          <w:szCs w:val="24"/>
        </w:rPr>
        <w:t>二维码扫描设备在常温环境下，以虚拟串口的通讯方式连接上位机，二维码扫描设备设置为连续识读模式，识读间隔500ms，对目标码(QR大数据 全英文，1048bytes</w:t>
      </w:r>
      <w:r>
        <w:rPr>
          <w:szCs w:val="24"/>
        </w:rPr>
        <w:t>)</w:t>
      </w:r>
      <w:r>
        <w:rPr>
          <w:rFonts w:hint="eastAsia"/>
          <w:szCs w:val="24"/>
        </w:rPr>
        <w:t>连续识读，拷机7个自然日（168h），二维码扫描设备扫描目标二维码1209600次，无重启无死机、误码。</w:t>
      </w:r>
    </w:p>
    <w:p>
      <w:pPr>
        <w:pStyle w:val="41"/>
        <w:spacing w:line="360" w:lineRule="auto"/>
        <w:rPr>
          <w:szCs w:val="24"/>
        </w:rPr>
      </w:pPr>
      <w:r>
        <w:rPr>
          <w:rFonts w:hint="eastAsia"/>
          <w:szCs w:val="24"/>
        </w:rPr>
        <w:t>在同等测试环境情况下，第二次拷机</w:t>
      </w:r>
      <w:r>
        <w:rPr>
          <w:szCs w:val="24"/>
        </w:rPr>
        <w:t>8</w:t>
      </w:r>
      <w:r>
        <w:rPr>
          <w:rFonts w:hint="eastAsia"/>
          <w:szCs w:val="24"/>
        </w:rPr>
        <w:t>个自然日（192h），二维码扫描设备扫描目标二维码1382400次，无重启死机、误码。</w:t>
      </w:r>
    </w:p>
    <w:p>
      <w:pPr>
        <w:pStyle w:val="41"/>
        <w:ind w:left="424" w:leftChars="177" w:firstLine="0"/>
        <w:rPr>
          <w:szCs w:val="24"/>
        </w:rPr>
      </w:pPr>
      <w:r>
        <w:rPr>
          <w:rFonts w:hint="eastAsia"/>
          <w:szCs w:val="24"/>
        </w:rPr>
        <w:t>B、高低温环境下稳定性</w:t>
      </w:r>
    </w:p>
    <w:p>
      <w:pPr>
        <w:pStyle w:val="41"/>
        <w:spacing w:line="360" w:lineRule="auto"/>
        <w:rPr>
          <w:szCs w:val="24"/>
        </w:rPr>
      </w:pPr>
      <w:r>
        <w:rPr>
          <w:rFonts w:hint="eastAsia"/>
          <w:szCs w:val="24"/>
        </w:rPr>
        <w:t>二维码扫描设备置于温箱中，烤箱分别进行-</w:t>
      </w:r>
      <w:r>
        <w:rPr>
          <w:szCs w:val="24"/>
        </w:rPr>
        <w:t>20</w:t>
      </w:r>
      <w:r>
        <w:rPr>
          <w:rFonts w:hint="eastAsia"/>
          <w:szCs w:val="24"/>
        </w:rPr>
        <w:t>~</w:t>
      </w:r>
      <w:r>
        <w:rPr>
          <w:szCs w:val="24"/>
        </w:rPr>
        <w:t>60</w:t>
      </w:r>
      <w:r>
        <w:rPr>
          <w:rFonts w:hint="eastAsia"/>
          <w:szCs w:val="24"/>
        </w:rPr>
        <w:t>℃温度循环及60℃持续高温环境两种模式下工作，二维码扫描设备均设置为虚拟串口方式与上位机进行通讯，并设置为连续识读模式，识读间隔时间为500ms，对目标码（</w:t>
      </w:r>
      <w:r>
        <w:rPr>
          <w:szCs w:val="24"/>
        </w:rPr>
        <w:t>D</w:t>
      </w:r>
      <w:r>
        <w:rPr>
          <w:rFonts w:hint="eastAsia"/>
          <w:szCs w:val="24"/>
        </w:rPr>
        <w:t>ata</w:t>
      </w:r>
      <w:r>
        <w:rPr>
          <w:szCs w:val="24"/>
        </w:rPr>
        <w:t xml:space="preserve"> M</w:t>
      </w:r>
      <w:r>
        <w:rPr>
          <w:rFonts w:hint="eastAsia"/>
          <w:szCs w:val="24"/>
        </w:rPr>
        <w:t>atrix</w:t>
      </w:r>
      <w:r>
        <w:rPr>
          <w:szCs w:val="24"/>
        </w:rPr>
        <w:t xml:space="preserve">  20</w:t>
      </w:r>
      <w:r>
        <w:rPr>
          <w:rFonts w:hint="eastAsia"/>
          <w:szCs w:val="24"/>
        </w:rPr>
        <w:t>mil</w:t>
      </w:r>
      <w:r>
        <w:rPr>
          <w:szCs w:val="24"/>
        </w:rPr>
        <w:t xml:space="preserve"> 100</w:t>
      </w:r>
      <w:r>
        <w:rPr>
          <w:rFonts w:hint="eastAsia"/>
          <w:szCs w:val="24"/>
        </w:rPr>
        <w:t>bytes</w:t>
      </w:r>
      <w:r>
        <w:rPr>
          <w:szCs w:val="24"/>
        </w:rPr>
        <w:t xml:space="preserve"> </w:t>
      </w:r>
      <w:r>
        <w:rPr>
          <w:rFonts w:hint="eastAsia"/>
          <w:szCs w:val="24"/>
        </w:rPr>
        <w:t>纠错级别ECC200）进行连续识读。</w:t>
      </w:r>
    </w:p>
    <w:p>
      <w:pPr>
        <w:pStyle w:val="41"/>
        <w:spacing w:line="360" w:lineRule="auto"/>
        <w:rPr>
          <w:szCs w:val="24"/>
        </w:rPr>
      </w:pPr>
      <w:r>
        <w:rPr>
          <w:rFonts w:hint="eastAsia"/>
          <w:szCs w:val="24"/>
        </w:rPr>
        <w:t>二维码扫描设备在-</w:t>
      </w:r>
      <w:r>
        <w:rPr>
          <w:szCs w:val="24"/>
        </w:rPr>
        <w:t>20</w:t>
      </w:r>
      <w:r>
        <w:rPr>
          <w:rFonts w:hint="eastAsia"/>
          <w:szCs w:val="24"/>
        </w:rPr>
        <w:t>℃~</w:t>
      </w:r>
      <w:r>
        <w:rPr>
          <w:szCs w:val="24"/>
        </w:rPr>
        <w:t>60</w:t>
      </w:r>
      <w:r>
        <w:rPr>
          <w:rFonts w:hint="eastAsia"/>
          <w:szCs w:val="24"/>
        </w:rPr>
        <w:t>℃温度循环环境下工作16h，二维码扫描设备扫描目标二维码115200次，二维码扫描设备无重启无死机无误码故障出现。</w:t>
      </w:r>
    </w:p>
    <w:p>
      <w:pPr>
        <w:pStyle w:val="41"/>
        <w:spacing w:line="360" w:lineRule="auto"/>
        <w:rPr>
          <w:szCs w:val="24"/>
        </w:rPr>
      </w:pPr>
      <w:r>
        <w:rPr>
          <w:rFonts w:hint="eastAsia"/>
          <w:szCs w:val="24"/>
        </w:rPr>
        <w:t>二维码扫描设备在60℃高温环境下工作24h，二维码扫描设备扫描目标二维码172800次，二维码扫描设备无重启无死机无误码故障出现。</w:t>
      </w:r>
    </w:p>
    <w:p>
      <w:pPr>
        <w:pStyle w:val="41"/>
        <w:ind w:left="424" w:leftChars="177" w:firstLine="0"/>
        <w:rPr>
          <w:szCs w:val="24"/>
        </w:rPr>
      </w:pPr>
      <w:r>
        <w:rPr>
          <w:rFonts w:hint="eastAsia"/>
          <w:szCs w:val="24"/>
        </w:rPr>
        <w:t>C、电磁兼容性</w:t>
      </w:r>
    </w:p>
    <w:p>
      <w:pPr>
        <w:pStyle w:val="41"/>
        <w:spacing w:line="360" w:lineRule="auto"/>
        <w:rPr>
          <w:szCs w:val="24"/>
        </w:rPr>
      </w:pPr>
      <w:r>
        <w:rPr>
          <w:rFonts w:hint="eastAsia"/>
          <w:szCs w:val="24"/>
        </w:rPr>
        <w:t>二维码扫描设备通过电磁干扰CE、</w:t>
      </w:r>
      <w:r>
        <w:rPr>
          <w:szCs w:val="24"/>
        </w:rPr>
        <w:t>FCC</w:t>
      </w:r>
      <w:r>
        <w:rPr>
          <w:rFonts w:hint="eastAsia"/>
          <w:szCs w:val="24"/>
        </w:rPr>
        <w:t>、</w:t>
      </w:r>
      <w:r>
        <w:rPr>
          <w:szCs w:val="24"/>
        </w:rPr>
        <w:t>ROHS</w:t>
      </w:r>
      <w:r>
        <w:rPr>
          <w:rFonts w:hint="eastAsia"/>
          <w:szCs w:val="24"/>
        </w:rPr>
        <w:t>相关检测，并获得对应的检测认证。故不存在相邻系统间电磁干扰及影响其他设备正常运行。</w:t>
      </w:r>
    </w:p>
    <w:p>
      <w:pPr>
        <w:pStyle w:val="41"/>
        <w:ind w:left="424" w:leftChars="177" w:firstLine="0"/>
        <w:rPr>
          <w:szCs w:val="24"/>
        </w:rPr>
      </w:pPr>
      <w:r>
        <w:rPr>
          <w:rFonts w:hint="eastAsia"/>
          <w:szCs w:val="24"/>
        </w:rPr>
        <w:t>D、强光、弱光、对焦对设备的影响</w:t>
      </w:r>
    </w:p>
    <w:p>
      <w:pPr>
        <w:pStyle w:val="41"/>
        <w:spacing w:line="360" w:lineRule="auto"/>
        <w:rPr>
          <w:szCs w:val="24"/>
        </w:rPr>
      </w:pPr>
      <w:r>
        <w:rPr>
          <w:rFonts w:hint="eastAsia"/>
          <w:szCs w:val="24"/>
        </w:rPr>
        <w:t>二维码扫描设备扫码时不受强光、弱光、对焦时间长等问题影响。本设备在10000LUX强光照射下能不正常识读15mil</w:t>
      </w:r>
      <w:r>
        <w:rPr>
          <w:szCs w:val="24"/>
        </w:rPr>
        <w:t xml:space="preserve"> QR</w:t>
      </w:r>
      <w:r>
        <w:rPr>
          <w:rFonts w:hint="eastAsia"/>
          <w:szCs w:val="24"/>
        </w:rPr>
        <w:t>码字，设备在0</w:t>
      </w:r>
      <w:r>
        <w:rPr>
          <w:szCs w:val="24"/>
        </w:rPr>
        <w:t>LUX</w:t>
      </w:r>
      <w:r>
        <w:rPr>
          <w:rFonts w:hint="eastAsia"/>
          <w:szCs w:val="24"/>
        </w:rPr>
        <w:t>黑暗环境下，因设备自带有白色LED灯及红外感应触发，故也能正常识读二维码。二维码扫描设备镜头为固定焦距，所以不受对焦时间影响。</w:t>
      </w:r>
    </w:p>
    <w:p>
      <w:pPr>
        <w:pStyle w:val="41"/>
        <w:ind w:left="424" w:leftChars="177" w:firstLine="0"/>
        <w:rPr>
          <w:szCs w:val="24"/>
        </w:rPr>
      </w:pPr>
      <w:r>
        <w:rPr>
          <w:rFonts w:hint="eastAsia"/>
          <w:szCs w:val="24"/>
        </w:rPr>
        <w:t>E、可维护性</w:t>
      </w:r>
    </w:p>
    <w:p>
      <w:pPr>
        <w:pStyle w:val="41"/>
        <w:spacing w:line="360" w:lineRule="auto"/>
        <w:rPr>
          <w:szCs w:val="24"/>
        </w:rPr>
      </w:pPr>
      <w:r>
        <w:rPr>
          <w:rFonts w:hint="eastAsia"/>
          <w:szCs w:val="24"/>
        </w:rPr>
        <w:t>二维码扫描设备整个设备为一个独立完整的设备，在出现故障时采用整机更换新品的方式维护。</w:t>
      </w:r>
    </w:p>
    <w:p>
      <w:pPr>
        <w:pStyle w:val="5"/>
      </w:pPr>
      <w:bookmarkStart w:id="51" w:name="_Toc503218117"/>
      <w:bookmarkStart w:id="52" w:name="_Ref493515500"/>
      <w:r>
        <w:rPr>
          <w:rFonts w:hint="eastAsia"/>
        </w:rPr>
        <w:t>软件功能修改</w:t>
      </w:r>
      <w:bookmarkEnd w:id="51"/>
      <w:bookmarkEnd w:id="52"/>
    </w:p>
    <w:p>
      <w:pPr>
        <w:pStyle w:val="41"/>
        <w:numPr>
          <w:ilvl w:val="0"/>
          <w:numId w:val="16"/>
        </w:numPr>
        <w:rPr>
          <w:szCs w:val="24"/>
        </w:rPr>
      </w:pPr>
      <w:r>
        <w:rPr>
          <w:rFonts w:hint="eastAsia"/>
          <w:szCs w:val="24"/>
        </w:rPr>
        <w:t>乘车二维码读取</w:t>
      </w:r>
    </w:p>
    <w:p>
      <w:pPr>
        <w:pStyle w:val="41"/>
        <w:spacing w:line="360" w:lineRule="auto"/>
        <w:rPr>
          <w:szCs w:val="24"/>
        </w:rPr>
      </w:pPr>
      <w:r>
        <w:rPr>
          <w:rFonts w:hint="eastAsia"/>
          <w:szCs w:val="24"/>
        </w:rPr>
        <w:t>工控机上的程序需要监控二维码扫描器返回的数据，并对数据进行校验。</w:t>
      </w:r>
    </w:p>
    <w:p>
      <w:pPr>
        <w:pStyle w:val="41"/>
        <w:spacing w:line="360" w:lineRule="auto"/>
        <w:rPr>
          <w:szCs w:val="24"/>
        </w:rPr>
      </w:pPr>
      <w:r>
        <w:rPr>
          <w:rFonts w:hint="eastAsia"/>
          <w:szCs w:val="24"/>
        </w:rPr>
        <w:t>闸机程序要从读取到的数据中解析出机构编码、密钥ID，通过机构编码确定二维码的发码机构，并调用该发码机构的密钥验证程序，使用数据中读取出的密钥ID，来验证二维码数据的合法性。</w:t>
      </w:r>
    </w:p>
    <w:p>
      <w:pPr>
        <w:pStyle w:val="41"/>
        <w:spacing w:line="360" w:lineRule="auto"/>
        <w:rPr>
          <w:szCs w:val="24"/>
        </w:rPr>
      </w:pPr>
      <w:r>
        <w:rPr>
          <w:rFonts w:hint="eastAsia"/>
          <w:szCs w:val="24"/>
        </w:rPr>
        <w:t>二维码数据验证合法后，闸机程序需要打开闸门，并记录交易数据，</w:t>
      </w:r>
    </w:p>
    <w:p>
      <w:pPr>
        <w:pStyle w:val="41"/>
        <w:numPr>
          <w:ilvl w:val="0"/>
          <w:numId w:val="16"/>
        </w:numPr>
        <w:rPr>
          <w:szCs w:val="24"/>
        </w:rPr>
      </w:pPr>
      <w:r>
        <w:rPr>
          <w:rFonts w:hint="eastAsia"/>
          <w:szCs w:val="24"/>
        </w:rPr>
        <w:t>防复制查询</w:t>
      </w:r>
    </w:p>
    <w:p>
      <w:pPr>
        <w:pStyle w:val="41"/>
        <w:spacing w:line="360" w:lineRule="auto"/>
        <w:rPr>
          <w:szCs w:val="24"/>
        </w:rPr>
      </w:pPr>
      <w:r>
        <w:rPr>
          <w:rFonts w:hint="eastAsia"/>
          <w:szCs w:val="24"/>
        </w:rPr>
        <w:t>闸机需要通过AFC网络，直连到多元化支付平台，在读取到合法的二维码数据并解析完成后，需向多元化支付平台发起防复制查询。具体过程参考</w:t>
      </w:r>
      <w:r>
        <w:rPr>
          <w:szCs w:val="24"/>
        </w:rPr>
        <w:fldChar w:fldCharType="begin"/>
      </w:r>
      <w:r>
        <w:rPr>
          <w:szCs w:val="24"/>
        </w:rPr>
        <w:instrText xml:space="preserve"> REF _Ref503186861 \r \h  \* MERGEFORMAT </w:instrText>
      </w:r>
      <w:r>
        <w:rPr>
          <w:szCs w:val="24"/>
        </w:rPr>
        <w:fldChar w:fldCharType="separate"/>
      </w:r>
      <w:r>
        <w:rPr>
          <w:szCs w:val="24"/>
        </w:rPr>
        <w:t>2.5</w:t>
      </w:r>
      <w:r>
        <w:rPr>
          <w:szCs w:val="24"/>
        </w:rPr>
        <w:fldChar w:fldCharType="end"/>
      </w:r>
      <w:r>
        <w:rPr>
          <w:szCs w:val="24"/>
        </w:rPr>
        <w:fldChar w:fldCharType="begin"/>
      </w:r>
      <w:r>
        <w:rPr>
          <w:szCs w:val="24"/>
        </w:rPr>
        <w:instrText xml:space="preserve"> </w:instrText>
      </w:r>
      <w:r>
        <w:rPr>
          <w:rFonts w:hint="eastAsia"/>
          <w:szCs w:val="24"/>
        </w:rPr>
        <w:instrText xml:space="preserve">REF _Ref503186861 \h</w:instrText>
      </w:r>
      <w:r>
        <w:rPr>
          <w:szCs w:val="24"/>
        </w:rPr>
        <w:instrText xml:space="preserve">  \* MERGEFORMAT </w:instrText>
      </w:r>
      <w:r>
        <w:rPr>
          <w:szCs w:val="24"/>
        </w:rPr>
        <w:fldChar w:fldCharType="separate"/>
      </w:r>
      <w:r>
        <w:rPr>
          <w:rFonts w:hint="eastAsia"/>
          <w:szCs w:val="24"/>
        </w:rPr>
        <w:t>联机验码策略</w:t>
      </w:r>
      <w:r>
        <w:rPr>
          <w:szCs w:val="24"/>
        </w:rPr>
        <w:fldChar w:fldCharType="end"/>
      </w:r>
    </w:p>
    <w:p>
      <w:pPr>
        <w:pStyle w:val="41"/>
        <w:numPr>
          <w:ilvl w:val="0"/>
          <w:numId w:val="16"/>
        </w:numPr>
        <w:rPr>
          <w:szCs w:val="24"/>
        </w:rPr>
      </w:pPr>
      <w:r>
        <w:rPr>
          <w:rFonts w:hint="eastAsia"/>
          <w:szCs w:val="24"/>
        </w:rPr>
        <w:t>交易数据上传</w:t>
      </w:r>
    </w:p>
    <w:p>
      <w:pPr>
        <w:pStyle w:val="41"/>
        <w:spacing w:line="360" w:lineRule="auto"/>
        <w:rPr>
          <w:szCs w:val="24"/>
        </w:rPr>
      </w:pPr>
      <w:r>
        <w:rPr>
          <w:rFonts w:hint="eastAsia"/>
          <w:szCs w:val="24"/>
        </w:rPr>
        <w:t>闸机与SC通信正常情况下，须以报文形式将交易数据实时上传到SC。</w:t>
      </w:r>
    </w:p>
    <w:p>
      <w:pPr>
        <w:pStyle w:val="41"/>
        <w:spacing w:line="360" w:lineRule="auto"/>
        <w:rPr>
          <w:szCs w:val="24"/>
        </w:rPr>
      </w:pPr>
      <w:r>
        <w:rPr>
          <w:rFonts w:hint="eastAsia"/>
          <w:szCs w:val="24"/>
        </w:rPr>
        <w:t>如果闸机与SC通信失败，则需要按指定时间间隔进行重试。</w:t>
      </w:r>
    </w:p>
    <w:p>
      <w:pPr>
        <w:pStyle w:val="41"/>
        <w:numPr>
          <w:ilvl w:val="0"/>
          <w:numId w:val="16"/>
        </w:numPr>
        <w:rPr>
          <w:szCs w:val="24"/>
        </w:rPr>
      </w:pPr>
      <w:r>
        <w:rPr>
          <w:rFonts w:hint="eastAsia"/>
          <w:szCs w:val="24"/>
        </w:rPr>
        <w:t>响应来自SC的命令</w:t>
      </w:r>
    </w:p>
    <w:p>
      <w:pPr>
        <w:pStyle w:val="41"/>
        <w:spacing w:line="360" w:lineRule="auto"/>
        <w:rPr>
          <w:szCs w:val="24"/>
        </w:rPr>
      </w:pPr>
      <w:r>
        <w:rPr>
          <w:rFonts w:hint="eastAsia"/>
          <w:szCs w:val="24"/>
        </w:rPr>
        <w:t>闸机程序响应来自SC的密钥更新命令并存储密钥文件。</w:t>
      </w:r>
    </w:p>
    <w:p>
      <w:pPr>
        <w:pStyle w:val="41"/>
        <w:numPr>
          <w:ilvl w:val="0"/>
          <w:numId w:val="16"/>
        </w:numPr>
        <w:rPr>
          <w:szCs w:val="24"/>
        </w:rPr>
      </w:pPr>
      <w:r>
        <w:rPr>
          <w:rFonts w:hint="eastAsia"/>
          <w:szCs w:val="24"/>
        </w:rPr>
        <w:t>报告设备状态</w:t>
      </w:r>
    </w:p>
    <w:p>
      <w:pPr>
        <w:pStyle w:val="41"/>
        <w:spacing w:line="360" w:lineRule="auto"/>
        <w:rPr>
          <w:szCs w:val="24"/>
        </w:rPr>
      </w:pPr>
      <w:r>
        <w:rPr>
          <w:rFonts w:hint="eastAsia"/>
          <w:szCs w:val="24"/>
        </w:rPr>
        <w:t>闸机程序监控二维码读写器的功能状态，如二维码读写器工作异常，需要将设备实时状态报告SC。</w:t>
      </w:r>
    </w:p>
    <w:p>
      <w:pPr>
        <w:pStyle w:val="4"/>
        <w:spacing w:after="156"/>
        <w:ind w:left="960" w:right="240"/>
      </w:pPr>
      <w:bookmarkStart w:id="53" w:name="_Toc503218115"/>
      <w:bookmarkStart w:id="54" w:name="_Toc11208"/>
      <w:r>
        <w:rPr>
          <w:rFonts w:hint="eastAsia"/>
        </w:rPr>
        <w:t>BOM改造方式</w:t>
      </w:r>
      <w:bookmarkEnd w:id="53"/>
      <w:bookmarkEnd w:id="54"/>
    </w:p>
    <w:p>
      <w:pPr>
        <w:pStyle w:val="41"/>
        <w:spacing w:line="360" w:lineRule="auto"/>
        <w:rPr>
          <w:szCs w:val="24"/>
        </w:rPr>
      </w:pPr>
      <w:r>
        <w:rPr>
          <w:rFonts w:hint="eastAsia"/>
          <w:szCs w:val="24"/>
        </w:rPr>
        <w:t>BOM终端处理流程：</w:t>
      </w:r>
    </w:p>
    <w:p>
      <w:pPr>
        <w:pStyle w:val="41"/>
        <w:numPr>
          <w:ilvl w:val="0"/>
          <w:numId w:val="17"/>
        </w:numPr>
        <w:spacing w:before="0" w:line="360" w:lineRule="auto"/>
        <w:rPr>
          <w:szCs w:val="24"/>
        </w:rPr>
      </w:pPr>
      <w:r>
        <w:rPr>
          <w:rFonts w:hint="eastAsia"/>
          <w:szCs w:val="24"/>
        </w:rPr>
        <w:t>用户手机丢失、无电等情况，要求用户按照票务规则购买单程票出站，原有交易按照单边交易处理。</w:t>
      </w:r>
    </w:p>
    <w:p>
      <w:pPr>
        <w:pStyle w:val="41"/>
        <w:numPr>
          <w:ilvl w:val="0"/>
          <w:numId w:val="17"/>
        </w:numPr>
        <w:spacing w:before="0" w:line="360" w:lineRule="auto"/>
        <w:rPr>
          <w:szCs w:val="24"/>
        </w:rPr>
      </w:pPr>
      <w:r>
        <w:rPr>
          <w:rFonts w:hint="eastAsia"/>
          <w:szCs w:val="24"/>
        </w:rPr>
        <w:t>用户因重复刷码导致无法进出站，BOM通过AFC网络连接线网防复制服务器，获取用户信息和交易记录，确认交易记录后，在系统中增加出站记录，再通知站务人员打开人工通道使乘客出站。</w:t>
      </w:r>
    </w:p>
    <w:p>
      <w:pPr>
        <w:pStyle w:val="41"/>
        <w:numPr>
          <w:ilvl w:val="0"/>
          <w:numId w:val="17"/>
        </w:numPr>
        <w:spacing w:before="0" w:line="360" w:lineRule="auto"/>
        <w:rPr>
          <w:szCs w:val="24"/>
        </w:rPr>
      </w:pPr>
      <w:r>
        <w:rPr>
          <w:rFonts w:hint="eastAsia"/>
          <w:szCs w:val="24"/>
        </w:rPr>
        <w:t>需要修改BOM处理程序，与线网防复制服务器连接，并能根据用户提交的手机号或二维码等信息查询用户交易情况。</w:t>
      </w:r>
    </w:p>
    <w:p>
      <w:pPr>
        <w:pStyle w:val="2"/>
      </w:pPr>
      <w:bookmarkStart w:id="55" w:name="_Toc13661"/>
      <w:r>
        <w:rPr>
          <w:rFonts w:hint="eastAsia"/>
        </w:rPr>
        <w:t>涉及接口</w:t>
      </w:r>
      <w:bookmarkEnd w:id="55"/>
    </w:p>
    <w:p>
      <w:pPr>
        <w:pStyle w:val="3"/>
      </w:pPr>
      <w:bookmarkStart w:id="56" w:name="_Toc503218127"/>
      <w:bookmarkStart w:id="57" w:name="_Toc6001"/>
      <w:r>
        <w:rPr>
          <w:rFonts w:hint="eastAsia"/>
        </w:rPr>
        <w:t>二维码扫码器（读写器）与闸机接口改造</w:t>
      </w:r>
      <w:bookmarkEnd w:id="56"/>
      <w:bookmarkEnd w:id="57"/>
    </w:p>
    <w:p>
      <w:pPr>
        <w:pStyle w:val="41"/>
        <w:rPr>
          <w:szCs w:val="24"/>
        </w:rPr>
      </w:pPr>
      <w:r>
        <w:rPr>
          <w:rFonts w:hint="eastAsia"/>
          <w:szCs w:val="24"/>
        </w:rPr>
        <w:t>除与闸机之间存在物理改造接口之外，需增加：</w:t>
      </w:r>
    </w:p>
    <w:p>
      <w:pPr>
        <w:pStyle w:val="41"/>
        <w:numPr>
          <w:ilvl w:val="0"/>
          <w:numId w:val="18"/>
        </w:numPr>
        <w:rPr>
          <w:szCs w:val="24"/>
        </w:rPr>
      </w:pPr>
      <w:r>
        <w:rPr>
          <w:rFonts w:hint="eastAsia"/>
          <w:szCs w:val="24"/>
        </w:rPr>
        <w:t>二维码扫码器与闸机控制器之间的信号控制接口；</w:t>
      </w:r>
    </w:p>
    <w:p>
      <w:pPr>
        <w:pStyle w:val="41"/>
        <w:numPr>
          <w:ilvl w:val="0"/>
          <w:numId w:val="18"/>
        </w:numPr>
        <w:rPr>
          <w:szCs w:val="24"/>
        </w:rPr>
      </w:pPr>
      <w:r>
        <w:rPr>
          <w:rFonts w:hint="eastAsia"/>
          <w:szCs w:val="24"/>
        </w:rPr>
        <w:t>二维码识别解析规范；</w:t>
      </w:r>
    </w:p>
    <w:p>
      <w:pPr>
        <w:pStyle w:val="41"/>
        <w:numPr>
          <w:ilvl w:val="0"/>
          <w:numId w:val="18"/>
        </w:numPr>
        <w:rPr>
          <w:szCs w:val="24"/>
        </w:rPr>
      </w:pPr>
      <w:r>
        <w:rPr>
          <w:rFonts w:hint="eastAsia"/>
          <w:szCs w:val="24"/>
        </w:rPr>
        <w:t>二维码交易数据生成接口等；</w:t>
      </w:r>
    </w:p>
    <w:p>
      <w:pPr>
        <w:pStyle w:val="41"/>
        <w:numPr>
          <w:ilvl w:val="0"/>
          <w:numId w:val="18"/>
        </w:numPr>
        <w:rPr>
          <w:szCs w:val="24"/>
        </w:rPr>
      </w:pPr>
      <w:r>
        <w:rPr>
          <w:rFonts w:hint="eastAsia"/>
          <w:szCs w:val="24"/>
        </w:rPr>
        <w:t>二维码扫描器为标准接口，可与其他二维码平台系统（例如交通部的二维码系统）对接；</w:t>
      </w:r>
    </w:p>
    <w:p>
      <w:pPr>
        <w:pStyle w:val="3"/>
      </w:pPr>
      <w:bookmarkStart w:id="58" w:name="_Toc503218128"/>
      <w:bookmarkStart w:id="59" w:name="_Toc21609"/>
      <w:r>
        <w:rPr>
          <w:rFonts w:hint="eastAsia"/>
        </w:rPr>
        <w:t>闸机与SC、LC、ACC接口改造</w:t>
      </w:r>
      <w:bookmarkEnd w:id="58"/>
      <w:bookmarkEnd w:id="59"/>
    </w:p>
    <w:p>
      <w:pPr>
        <w:pStyle w:val="41"/>
        <w:rPr>
          <w:szCs w:val="24"/>
        </w:rPr>
      </w:pPr>
      <w:r>
        <w:rPr>
          <w:rFonts w:hint="eastAsia"/>
          <w:szCs w:val="24"/>
        </w:rPr>
        <w:t>由于新增了二维码出入闸交易，闸机与SC、LC、ACC之间需新增：</w:t>
      </w:r>
    </w:p>
    <w:p>
      <w:pPr>
        <w:pStyle w:val="41"/>
        <w:numPr>
          <w:ilvl w:val="0"/>
          <w:numId w:val="18"/>
        </w:numPr>
        <w:rPr>
          <w:szCs w:val="24"/>
        </w:rPr>
      </w:pPr>
      <w:r>
        <w:rPr>
          <w:rFonts w:hint="eastAsia"/>
          <w:szCs w:val="24"/>
        </w:rPr>
        <w:t>交易数据传输接口；</w:t>
      </w:r>
    </w:p>
    <w:p>
      <w:pPr>
        <w:pStyle w:val="41"/>
        <w:numPr>
          <w:ilvl w:val="0"/>
          <w:numId w:val="18"/>
        </w:numPr>
        <w:rPr>
          <w:szCs w:val="24"/>
        </w:rPr>
      </w:pPr>
      <w:r>
        <w:rPr>
          <w:rFonts w:hint="eastAsia"/>
          <w:szCs w:val="24"/>
        </w:rPr>
        <w:t>交易审计数据接口等。</w:t>
      </w:r>
    </w:p>
    <w:p>
      <w:pPr>
        <w:pStyle w:val="3"/>
      </w:pPr>
      <w:bookmarkStart w:id="60" w:name="_ACC与多元化支付平台的接口"/>
      <w:bookmarkEnd w:id="60"/>
      <w:bookmarkStart w:id="61" w:name="_Ref493359572"/>
      <w:bookmarkStart w:id="62" w:name="_Ref493364428"/>
      <w:bookmarkStart w:id="63" w:name="_Ref493364422"/>
      <w:bookmarkStart w:id="64" w:name="_Ref493441158"/>
      <w:bookmarkStart w:id="65" w:name="_Toc5335"/>
      <w:r>
        <w:rPr>
          <w:rFonts w:hint="eastAsia"/>
        </w:rPr>
        <w:t>ACC与多元化支付平台接口</w:t>
      </w:r>
      <w:bookmarkEnd w:id="61"/>
      <w:bookmarkEnd w:id="62"/>
      <w:bookmarkEnd w:id="63"/>
      <w:r>
        <w:rPr>
          <w:rFonts w:hint="eastAsia"/>
        </w:rPr>
        <w:t>改造</w:t>
      </w:r>
      <w:bookmarkEnd w:id="64"/>
      <w:bookmarkEnd w:id="65"/>
    </w:p>
    <w:p>
      <w:pPr>
        <w:spacing w:afterLines="0"/>
        <w:ind w:firstLine="420"/>
        <w:rPr>
          <w:rFonts w:hint="eastAsia"/>
          <w:b/>
          <w:bCs/>
        </w:rPr>
      </w:pPr>
      <w:r>
        <w:rPr>
          <w:rFonts w:hint="eastAsia"/>
        </w:rPr>
        <w:t>ACC需要实现与多元化支付平台之间的原始交易数据传输接口以及对账接口。数据交换内容与流程、数据类型等在</w:t>
      </w:r>
      <w:r>
        <w:rPr>
          <w:rFonts w:hint="eastAsia"/>
          <w:b/>
          <w:bCs/>
        </w:rPr>
        <w:t>技术联络会时最终确认。</w:t>
      </w:r>
    </w:p>
    <w:p>
      <w:pPr>
        <w:pStyle w:val="2"/>
        <w:rPr>
          <w:rFonts w:hint="eastAsia" w:ascii="Arial" w:hAnsi="Arial"/>
        </w:rPr>
      </w:pPr>
      <w:bookmarkStart w:id="66" w:name="_Toc19133"/>
      <w:r>
        <w:rPr>
          <w:rFonts w:hint="eastAsia" w:ascii="Arial" w:hAnsi="Arial"/>
        </w:rPr>
        <w:t>地铁服务器设备性能选型参考</w:t>
      </w:r>
      <w:bookmarkEnd w:id="66"/>
    </w:p>
    <w:p/>
    <w:p>
      <w:pPr>
        <w:pStyle w:val="3"/>
        <w:rPr>
          <w:rFonts w:hint="eastAsia" w:ascii="Arial" w:hAnsi="Arial"/>
        </w:rPr>
      </w:pPr>
      <w:bookmarkStart w:id="67" w:name="_Toc27630"/>
      <w:r>
        <w:rPr>
          <w:rFonts w:hint="eastAsia" w:ascii="Arial" w:hAnsi="Arial"/>
        </w:rPr>
        <w:t>网络结构</w:t>
      </w:r>
      <w:bookmarkEnd w:id="67"/>
    </w:p>
    <w:p>
      <w:r>
        <w:drawing>
          <wp:inline distT="0" distB="0" distL="0" distR="0">
            <wp:extent cx="5274310" cy="3643630"/>
            <wp:effectExtent l="0" t="0" r="254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274310" cy="3643630"/>
                    </a:xfrm>
                    <a:prstGeom prst="rect">
                      <a:avLst/>
                    </a:prstGeom>
                  </pic:spPr>
                </pic:pic>
              </a:graphicData>
            </a:graphic>
          </wp:inline>
        </w:drawing>
      </w:r>
    </w:p>
    <w:p>
      <w:pPr>
        <w:rPr>
          <w:rFonts w:hint="eastAsia"/>
        </w:rPr>
      </w:pPr>
      <w:r>
        <w:tab/>
      </w:r>
      <w:r>
        <w:t>前置服务器部署于备用</w:t>
      </w:r>
      <w:r>
        <w:rPr>
          <w:rFonts w:hint="eastAsia"/>
        </w:rPr>
        <w:t>ACC清分中心，接入ACC网络并与AFC互联互通。</w:t>
      </w:r>
    </w:p>
    <w:p>
      <w:pPr>
        <w:pStyle w:val="3"/>
        <w:rPr>
          <w:rFonts w:hint="eastAsia" w:ascii="Arial" w:hAnsi="Arial"/>
        </w:rPr>
      </w:pPr>
      <w:bookmarkStart w:id="68" w:name="_Toc1636"/>
      <w:r>
        <w:rPr>
          <w:rFonts w:hint="eastAsia" w:ascii="Arial" w:hAnsi="Arial"/>
        </w:rPr>
        <w:t>数据库服务器选型评估</w:t>
      </w:r>
      <w:bookmarkEnd w:id="68"/>
    </w:p>
    <w:p>
      <w:pPr>
        <w:pStyle w:val="4"/>
        <w:spacing w:after="156"/>
        <w:ind w:left="960" w:right="240"/>
        <w:rPr>
          <w:rFonts w:hint="eastAsia" w:ascii="Arial" w:hAnsi="Arial"/>
        </w:rPr>
      </w:pPr>
      <w:bookmarkStart w:id="69" w:name="_Toc10449"/>
      <w:r>
        <w:rPr>
          <w:rFonts w:hint="eastAsia" w:ascii="Arial" w:hAnsi="Arial"/>
        </w:rPr>
        <w:t>CPU性能推算：</w:t>
      </w:r>
      <w:bookmarkEnd w:id="69"/>
    </w:p>
    <w:p>
      <w:pPr>
        <w:numPr>
          <w:ilvl w:val="0"/>
          <w:numId w:val="19"/>
        </w:numPr>
        <w:spacing w:line="360" w:lineRule="auto"/>
        <w:ind w:left="1265" w:leftChars="0" w:hanging="425" w:firstLineChars="0"/>
      </w:pPr>
      <w:r>
        <w:rPr>
          <w:rFonts w:hint="eastAsia"/>
        </w:rPr>
        <w:t>本次手机过闸系统，一期一共12个站，每站4台，共计48个闸机，乘客发起请求数为1次，按200ms处理</w:t>
      </w:r>
      <w:r>
        <w:t>完一笔交易计算</w:t>
      </w:r>
      <w:r>
        <w:rPr>
          <w:rFonts w:hint="eastAsia"/>
        </w:rPr>
        <w:t>，</w:t>
      </w:r>
      <w:r>
        <w:t>那么</w:t>
      </w:r>
      <w:r>
        <w:rPr>
          <w:rFonts w:hint="eastAsia"/>
        </w:rPr>
        <w:t>5笔/秒，则交易并发峰值约为</w:t>
      </w:r>
      <w:r>
        <w:t>48</w:t>
      </w:r>
      <w:r>
        <w:rPr>
          <w:rFonts w:hint="eastAsia"/>
        </w:rPr>
        <w:t>*</w:t>
      </w:r>
      <w:r>
        <w:t>5</w:t>
      </w:r>
      <w:r>
        <w:rPr>
          <w:rFonts w:hint="eastAsia"/>
        </w:rPr>
        <w:t>=</w:t>
      </w:r>
      <w:r>
        <w:t>240</w:t>
      </w:r>
      <w:r>
        <w:rPr>
          <w:rFonts w:hint="eastAsia"/>
        </w:rPr>
        <w:t>笔/秒同时在线工作，每分钟约需处理完成</w:t>
      </w:r>
      <w:r>
        <w:t>240</w:t>
      </w:r>
      <w:r>
        <w:rPr>
          <w:rFonts w:hint="eastAsia"/>
        </w:rPr>
        <w:t>*60=</w:t>
      </w:r>
      <w:r>
        <w:t>14400</w:t>
      </w:r>
      <w:r>
        <w:rPr>
          <w:rFonts w:hint="eastAsia"/>
        </w:rPr>
        <w:t>笔交易。</w:t>
      </w:r>
    </w:p>
    <w:p>
      <w:pPr>
        <w:numPr>
          <w:ilvl w:val="0"/>
          <w:numId w:val="19"/>
        </w:numPr>
        <w:spacing w:line="360" w:lineRule="auto"/>
        <w:ind w:left="1265" w:leftChars="0" w:hanging="425" w:firstLineChars="0"/>
      </w:pPr>
      <w:r>
        <w:rPr>
          <w:rFonts w:hint="eastAsia"/>
        </w:rPr>
        <w:t>计算公式：</w:t>
      </w:r>
    </w:p>
    <w:p>
      <w:pPr>
        <w:pStyle w:val="53"/>
        <w:spacing w:line="360" w:lineRule="auto"/>
        <w:ind w:left="780" w:firstLine="0" w:firstLineChars="0"/>
      </w:pPr>
      <w:r>
        <w:rPr>
          <w:rFonts w:hint="eastAsia"/>
        </w:rPr>
        <w:t>业务系统所需数据库服务器数量测算公式</w:t>
      </w:r>
    </w:p>
    <w:p>
      <w:pPr>
        <w:pStyle w:val="116"/>
        <w:ind w:firstLine="420"/>
      </w:pPr>
      <w:r>
        <w:rPr>
          <w:rFonts w:hint="eastAsia"/>
        </w:rPr>
        <w:t>数据库服务器整体计算能力需求TPCC(Tpmc)值=(M1 * M2)/(1 - M3)</w:t>
      </w:r>
    </w:p>
    <w:p>
      <w:pPr>
        <w:pStyle w:val="53"/>
        <w:spacing w:line="360" w:lineRule="auto"/>
        <w:ind w:left="780" w:firstLine="0" w:firstLineChars="0"/>
      </w:pPr>
      <w:r>
        <w:rPr>
          <w:rFonts w:hint="eastAsia"/>
        </w:rPr>
        <w:t>M1：为每分钟业务事务量；</w:t>
      </w:r>
    </w:p>
    <w:p>
      <w:pPr>
        <w:spacing w:line="360" w:lineRule="auto"/>
        <w:ind w:left="420" w:firstLine="360"/>
      </w:pPr>
      <w:r>
        <w:rPr>
          <w:rFonts w:hint="eastAsia"/>
        </w:rPr>
        <w:t>M1=应用系统的总用户数*用户在线率*在线用户平均发起请求数；</w:t>
      </w:r>
    </w:p>
    <w:p>
      <w:pPr>
        <w:spacing w:line="360" w:lineRule="auto"/>
        <w:ind w:left="420" w:firstLine="360"/>
      </w:pPr>
      <w:r>
        <w:rPr>
          <w:rFonts w:hint="eastAsia"/>
        </w:rPr>
        <w:t>M2：标准事务量比率，为一个当前业务系统联机事务相当于多少个标准tpmC事务值，一般M2取值应该在5-15范围内；</w:t>
      </w:r>
    </w:p>
    <w:p>
      <w:pPr>
        <w:spacing w:line="360" w:lineRule="auto"/>
        <w:ind w:left="420" w:firstLine="360"/>
      </w:pPr>
      <w:r>
        <w:rPr>
          <w:rFonts w:hint="eastAsia"/>
        </w:rPr>
        <w:t>M3：系统资源冗余率，一般取20%-40%；</w:t>
      </w:r>
    </w:p>
    <w:p>
      <w:pPr>
        <w:pStyle w:val="53"/>
        <w:spacing w:line="360" w:lineRule="auto"/>
        <w:ind w:left="780" w:firstLine="0" w:firstLineChars="0"/>
      </w:pPr>
      <w:r>
        <w:rPr>
          <w:rFonts w:hint="eastAsia"/>
        </w:rPr>
        <w:t>本次项目中：</w:t>
      </w:r>
    </w:p>
    <w:p>
      <w:pPr>
        <w:spacing w:line="360" w:lineRule="auto"/>
        <w:ind w:left="420" w:firstLine="360"/>
      </w:pPr>
      <w:r>
        <w:rPr>
          <w:rFonts w:hint="eastAsia"/>
        </w:rPr>
        <w:t>M1=</w:t>
      </w:r>
      <w:r>
        <w:t>14400</w:t>
      </w:r>
      <w:r>
        <w:rPr>
          <w:rFonts w:hint="eastAsia"/>
        </w:rPr>
        <w:t>笔/分钟（本项目为在线用户发起请求交易完成数为主）</w:t>
      </w:r>
    </w:p>
    <w:p>
      <w:pPr>
        <w:pStyle w:val="53"/>
        <w:spacing w:line="360" w:lineRule="auto"/>
        <w:ind w:left="780" w:firstLine="0" w:firstLineChars="0"/>
      </w:pPr>
      <w:r>
        <w:rPr>
          <w:rFonts w:hint="eastAsia"/>
        </w:rPr>
        <w:t>M2：一般M2取值应该在5-15范围内，本次取10；</w:t>
      </w:r>
    </w:p>
    <w:p>
      <w:pPr>
        <w:pStyle w:val="53"/>
        <w:spacing w:line="360" w:lineRule="auto"/>
        <w:ind w:left="780" w:firstLine="0" w:firstLineChars="0"/>
      </w:pPr>
      <w:r>
        <w:rPr>
          <w:rFonts w:hint="eastAsia"/>
        </w:rPr>
        <w:t>M3：系统资源冗余率，一般取20%-40%，本次考虑系统高峰期，本次取30%；</w:t>
      </w:r>
    </w:p>
    <w:p>
      <w:pPr>
        <w:spacing w:line="360" w:lineRule="auto"/>
        <w:ind w:left="420" w:firstLine="360"/>
      </w:pPr>
      <w:r>
        <w:rPr>
          <w:rFonts w:hint="eastAsia"/>
        </w:rPr>
        <w:t>TPCC(Tpmc)值=(M1 * M2)/(1 - M3)=</w:t>
      </w:r>
      <w:r>
        <w:t>14400</w:t>
      </w:r>
      <w:r>
        <w:rPr>
          <w:rFonts w:hint="eastAsia"/>
        </w:rPr>
        <w:t>*10/(1-30%)≈</w:t>
      </w:r>
      <w:r>
        <w:t>205714</w:t>
      </w:r>
      <w:r>
        <w:rPr>
          <w:rFonts w:hint="eastAsia"/>
        </w:rPr>
        <w:t xml:space="preserve"> tpmC </w:t>
      </w:r>
    </w:p>
    <w:p>
      <w:pPr>
        <w:spacing w:line="360" w:lineRule="auto"/>
        <w:ind w:left="420" w:firstLine="360"/>
      </w:pPr>
    </w:p>
    <w:p>
      <w:pPr>
        <w:numPr>
          <w:ilvl w:val="0"/>
          <w:numId w:val="19"/>
        </w:numPr>
        <w:spacing w:line="360" w:lineRule="auto"/>
        <w:ind w:left="1265" w:leftChars="0" w:hanging="425" w:firstLineChars="0"/>
      </w:pPr>
      <w:r>
        <w:rPr>
          <w:rFonts w:hint="eastAsia"/>
        </w:rPr>
        <w:t>在www.tpc.org上公布满配置服务器的TPC-C值，对于非满配置的服务器需要进行估算，按照服务器的TPC-C值和CPU数和频率呈线性关系的特性，根据满配置的服务器大概估算出非满配置的同档次服务器的TPC-C值。那么，</w:t>
      </w:r>
    </w:p>
    <w:p>
      <w:pPr>
        <w:spacing w:line="360" w:lineRule="auto"/>
        <w:ind w:left="420" w:firstLine="360"/>
      </w:pPr>
      <w:r>
        <w:rPr>
          <w:rFonts w:hint="eastAsia"/>
        </w:rPr>
        <w:t xml:space="preserve"> 目标配置服务器的TPC-C值 ≈（同档次满配测试服务器的TPC-C值÷CPU个数÷CPU主频频率）* 估算服务器的CPU个数*CPU主频频率</w:t>
      </w:r>
    </w:p>
    <w:p>
      <w:pPr>
        <w:spacing w:line="360" w:lineRule="auto"/>
        <w:ind w:firstLine="480" w:firstLineChars="200"/>
      </w:pPr>
      <w:r>
        <w:t>TPC官网公布</w:t>
      </w:r>
      <w:r>
        <w:rPr>
          <w:rFonts w:hint="eastAsia"/>
        </w:rPr>
        <w:t>：满配</w:t>
      </w:r>
      <w:r>
        <w:t>2</w:t>
      </w:r>
      <w:r>
        <w:rPr>
          <w:rFonts w:hint="eastAsia"/>
        </w:rPr>
        <w:t>颗</w:t>
      </w:r>
      <w:r>
        <w:t>Intel Xeon E5</w:t>
      </w:r>
      <w:r>
        <w:rPr>
          <w:rFonts w:hint="eastAsia"/>
        </w:rPr>
        <w:t>系列（</w:t>
      </w:r>
      <w:r>
        <w:t>2.4GHz/ 16</w:t>
      </w:r>
      <w:r>
        <w:rPr>
          <w:rFonts w:hint="eastAsia"/>
        </w:rPr>
        <w:t>核）的两路服务器的官网测试结果：</w:t>
      </w:r>
      <w:r>
        <w:t>139909 tpmC</w:t>
      </w:r>
    </w:p>
    <w:p>
      <w:pPr>
        <w:spacing w:line="360" w:lineRule="auto"/>
      </w:pPr>
      <w:r>
        <w:drawing>
          <wp:inline distT="0" distB="0" distL="0" distR="0">
            <wp:extent cx="5274310" cy="2447290"/>
            <wp:effectExtent l="0" t="0" r="254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a:stretch>
                      <a:fillRect/>
                    </a:stretch>
                  </pic:blipFill>
                  <pic:spPr>
                    <a:xfrm>
                      <a:off x="0" y="0"/>
                      <a:ext cx="5274310" cy="2447290"/>
                    </a:xfrm>
                    <a:prstGeom prst="rect">
                      <a:avLst/>
                    </a:prstGeom>
                  </pic:spPr>
                </pic:pic>
              </a:graphicData>
            </a:graphic>
          </wp:inline>
        </w:drawing>
      </w:r>
    </w:p>
    <w:p>
      <w:pPr>
        <w:spacing w:line="360" w:lineRule="auto"/>
        <w:ind w:left="420" w:firstLine="360"/>
      </w:pPr>
      <w:r>
        <w:t>根据公式</w:t>
      </w:r>
    </w:p>
    <w:p>
      <w:pPr>
        <w:spacing w:line="360" w:lineRule="auto"/>
        <w:ind w:left="420" w:firstLine="360"/>
        <w:rPr>
          <w:color w:val="FF0000"/>
        </w:rPr>
      </w:pPr>
      <w:r>
        <w:rPr>
          <w:rFonts w:hint="eastAsia"/>
        </w:rPr>
        <w:t>设</w:t>
      </w:r>
      <w:r>
        <w:rPr>
          <w:color w:val="FF0000"/>
        </w:rPr>
        <w:t>估算服务器的</w:t>
      </w:r>
      <w:r>
        <w:rPr>
          <w:rFonts w:hint="eastAsia"/>
          <w:color w:val="FF0000"/>
        </w:rPr>
        <w:t xml:space="preserve">CPU个数  </w:t>
      </w:r>
      <w:r>
        <w:rPr>
          <w:rFonts w:hint="eastAsia"/>
        </w:rPr>
        <w:t>为</w:t>
      </w:r>
      <w:r>
        <w:rPr>
          <w:rFonts w:hint="eastAsia"/>
          <w:color w:val="FF0000"/>
        </w:rPr>
        <w:t>X</w:t>
      </w:r>
    </w:p>
    <w:p>
      <w:pPr>
        <w:spacing w:line="360" w:lineRule="auto"/>
        <w:ind w:left="420" w:firstLine="360"/>
      </w:pPr>
      <w:r>
        <w:rPr>
          <w:rFonts w:hint="eastAsia"/>
        </w:rPr>
        <w:t>2</w:t>
      </w:r>
      <w:r>
        <w:t>05714 tpmC</w:t>
      </w:r>
      <w:r>
        <w:rPr>
          <w:rFonts w:hint="eastAsia"/>
        </w:rPr>
        <w:t xml:space="preserve"> ≈[</w:t>
      </w:r>
      <w:r>
        <w:t>139909 tpmC</w:t>
      </w:r>
      <w:r>
        <w:rPr>
          <w:rFonts w:hint="eastAsia"/>
        </w:rPr>
        <w:t>÷</w:t>
      </w:r>
      <w:r>
        <w:t>2</w:t>
      </w:r>
      <w:r>
        <w:rPr>
          <w:rFonts w:hint="eastAsia"/>
        </w:rPr>
        <w:t>÷（</w:t>
      </w:r>
      <w:r>
        <w:t>2.4GHz</w:t>
      </w:r>
      <w:r>
        <w:rPr>
          <w:rFonts w:hint="eastAsia"/>
        </w:rPr>
        <w:t>*</w:t>
      </w:r>
      <w:r>
        <w:t>16</w:t>
      </w:r>
      <w:r>
        <w:rPr>
          <w:rFonts w:hint="eastAsia"/>
        </w:rPr>
        <w:t>）]</w:t>
      </w:r>
      <w:r>
        <w:t xml:space="preserve"> </w:t>
      </w:r>
      <w:r>
        <w:rPr>
          <w:rFonts w:hint="eastAsia"/>
        </w:rPr>
        <w:t>*</w:t>
      </w:r>
      <w:r>
        <w:t xml:space="preserve">  </w:t>
      </w:r>
      <w:r>
        <w:rPr>
          <w:rFonts w:hint="eastAsia"/>
          <w:color w:val="FF0000"/>
        </w:rPr>
        <w:t>X</w:t>
      </w:r>
      <w:r>
        <w:rPr>
          <w:color w:val="FF0000"/>
        </w:rPr>
        <w:t xml:space="preserve"> </w:t>
      </w:r>
      <w:r>
        <w:rPr>
          <w:rFonts w:hint="eastAsia"/>
        </w:rPr>
        <w:t>*（</w:t>
      </w:r>
      <w:r>
        <w:t>2.4</w:t>
      </w:r>
      <w:r>
        <w:rPr>
          <w:rFonts w:hint="eastAsia"/>
        </w:rPr>
        <w:t>*</w:t>
      </w:r>
      <w:r>
        <w:t>16</w:t>
      </w:r>
      <w:r>
        <w:rPr>
          <w:rFonts w:hint="eastAsia"/>
        </w:rPr>
        <w:t>）</w:t>
      </w:r>
    </w:p>
    <w:p>
      <w:pPr>
        <w:spacing w:line="360" w:lineRule="auto"/>
        <w:ind w:left="420" w:firstLine="360"/>
      </w:pPr>
      <w:r>
        <w:rPr>
          <w:rFonts w:hint="eastAsia"/>
          <w:color w:val="FF0000"/>
        </w:rPr>
        <w:t>X</w:t>
      </w:r>
      <w:r>
        <w:rPr>
          <w:rFonts w:hint="eastAsia"/>
        </w:rPr>
        <w:t>≈205714t</w:t>
      </w:r>
      <w:r>
        <w:t>pmc</w:t>
      </w:r>
      <w:r>
        <w:rPr>
          <w:rFonts w:hint="eastAsia"/>
        </w:rPr>
        <w:t>÷[</w:t>
      </w:r>
      <w:r>
        <w:t>139909tpmC</w:t>
      </w:r>
      <w:r>
        <w:rPr>
          <w:rFonts w:hint="eastAsia"/>
        </w:rPr>
        <w:t>÷</w:t>
      </w:r>
      <w:r>
        <w:t>2</w:t>
      </w:r>
      <w:r>
        <w:rPr>
          <w:rFonts w:hint="eastAsia"/>
        </w:rPr>
        <w:t>÷（</w:t>
      </w:r>
      <w:r>
        <w:t>2.4GHz</w:t>
      </w:r>
      <w:r>
        <w:rPr>
          <w:rFonts w:hint="eastAsia"/>
        </w:rPr>
        <w:t>*</w:t>
      </w:r>
      <w:r>
        <w:t>16</w:t>
      </w:r>
      <w:r>
        <w:rPr>
          <w:rFonts w:hint="eastAsia"/>
        </w:rPr>
        <w:t>）] ÷（</w:t>
      </w:r>
      <w:r>
        <w:t>2.4</w:t>
      </w:r>
      <w:r>
        <w:rPr>
          <w:rFonts w:hint="eastAsia"/>
        </w:rPr>
        <w:t>*</w:t>
      </w:r>
      <w:r>
        <w:t>16</w:t>
      </w:r>
      <w:r>
        <w:rPr>
          <w:rFonts w:hint="eastAsia"/>
        </w:rPr>
        <w:t>）≈2.9</w:t>
      </w:r>
    </w:p>
    <w:p>
      <w:pPr>
        <w:spacing w:line="360" w:lineRule="auto"/>
        <w:ind w:left="420" w:firstLine="360"/>
      </w:pPr>
      <w:r>
        <w:rPr>
          <w:rFonts w:hint="eastAsia"/>
        </w:rPr>
        <w:t>根据目前市场CPU主流，配置INTEL志强系列CPU，本次目标配置服务器，配置两台为</w:t>
      </w:r>
      <w:r>
        <w:t>2</w:t>
      </w:r>
      <w:r>
        <w:rPr>
          <w:rFonts w:hint="eastAsia"/>
        </w:rPr>
        <w:t>颗Intel Xeon</w:t>
      </w:r>
      <w:r>
        <w:rPr>
          <w:rFonts w:hint="eastAsia" w:ascii="宋体" w:hAnsi="宋体" w:cs="宋体"/>
          <w:color w:val="000000"/>
          <w:kern w:val="0"/>
          <w:sz w:val="22"/>
        </w:rPr>
        <w:t xml:space="preserve"> </w:t>
      </w:r>
      <w:r>
        <w:rPr>
          <w:rFonts w:hint="eastAsia"/>
        </w:rPr>
        <w:t>E5-2620V4 (2.1GHz/</w:t>
      </w:r>
      <w:r>
        <w:t>8</w:t>
      </w:r>
      <w:r>
        <w:rPr>
          <w:rFonts w:hint="eastAsia"/>
        </w:rPr>
        <w:t>核)处理器可满足业务需求。</w:t>
      </w:r>
    </w:p>
    <w:p>
      <w:pPr>
        <w:pStyle w:val="4"/>
        <w:spacing w:after="156"/>
        <w:ind w:left="960" w:right="240"/>
        <w:rPr>
          <w:rFonts w:hint="eastAsia" w:ascii="Arial" w:hAnsi="Arial"/>
        </w:rPr>
      </w:pPr>
      <w:bookmarkStart w:id="70" w:name="_Toc26695"/>
      <w:r>
        <w:rPr>
          <w:rFonts w:hint="eastAsia" w:ascii="Arial" w:hAnsi="Arial"/>
        </w:rPr>
        <w:t>内存估算</w:t>
      </w:r>
      <w:bookmarkEnd w:id="70"/>
    </w:p>
    <w:p>
      <w:pPr>
        <w:spacing w:line="360" w:lineRule="auto"/>
        <w:ind w:left="420" w:firstLine="360"/>
      </w:pPr>
      <w:r>
        <w:rPr>
          <w:rFonts w:hint="eastAsia"/>
        </w:rPr>
        <w:t>按照64位操作系统和应用配置单核CPU配备4GB内存需求的规则，配置</w:t>
      </w:r>
      <w:r>
        <w:t>16</w:t>
      </w:r>
      <w:r>
        <w:rPr>
          <w:rFonts w:hint="eastAsia"/>
        </w:rPr>
        <w:t xml:space="preserve">核CPU，则服务器内存为 </w:t>
      </w:r>
      <w:r>
        <w:t>64</w:t>
      </w:r>
      <w:r>
        <w:rPr>
          <w:rFonts w:hint="eastAsia"/>
        </w:rPr>
        <w:t>GB。</w:t>
      </w:r>
    </w:p>
    <w:p>
      <w:pPr>
        <w:pStyle w:val="4"/>
        <w:spacing w:after="156"/>
        <w:ind w:left="960" w:right="240"/>
        <w:rPr>
          <w:rFonts w:hint="eastAsia" w:ascii="Arial" w:hAnsi="Arial"/>
        </w:rPr>
      </w:pPr>
      <w:bookmarkStart w:id="71" w:name="_Toc290"/>
      <w:r>
        <w:rPr>
          <w:rFonts w:hint="eastAsia" w:ascii="Arial" w:hAnsi="Arial"/>
        </w:rPr>
        <w:t>硬盘阵列</w:t>
      </w:r>
      <w:bookmarkEnd w:id="71"/>
    </w:p>
    <w:p>
      <w:pPr>
        <w:spacing w:line="360" w:lineRule="auto"/>
        <w:rPr>
          <w:rFonts w:hint="eastAsia"/>
        </w:rPr>
      </w:pPr>
      <w:r>
        <w:rPr>
          <w:rFonts w:hint="eastAsia"/>
        </w:rPr>
        <w:t xml:space="preserve">   为提高系统及应用数据读写性能采用SSD</w:t>
      </w:r>
      <w:r>
        <w:t xml:space="preserve"> 800GB</w:t>
      </w:r>
      <w:r>
        <w:rPr>
          <w:rFonts w:hint="eastAsia"/>
        </w:rPr>
        <w:t>双硬盘，阵列划分结构为RAID0+1方式。</w:t>
      </w:r>
    </w:p>
    <w:p>
      <w:pPr>
        <w:ind w:firstLine="420"/>
        <w:rPr>
          <w:rFonts w:hint="eastAsia"/>
        </w:rPr>
      </w:pPr>
    </w:p>
    <w:p>
      <w:pPr>
        <w:pStyle w:val="3"/>
        <w:rPr>
          <w:rFonts w:hint="eastAsia" w:ascii="Arial" w:hAnsi="Arial"/>
        </w:rPr>
      </w:pPr>
      <w:bookmarkStart w:id="72" w:name="_Toc3725"/>
      <w:r>
        <w:rPr>
          <w:rFonts w:hint="eastAsia" w:ascii="Arial" w:hAnsi="Arial"/>
        </w:rPr>
        <w:t>应用服务器选型评估</w:t>
      </w:r>
      <w:bookmarkEnd w:id="72"/>
    </w:p>
    <w:p>
      <w:pPr>
        <w:pStyle w:val="4"/>
        <w:spacing w:after="156"/>
        <w:ind w:left="960" w:right="240"/>
        <w:rPr>
          <w:rFonts w:hint="eastAsia" w:ascii="Arial" w:hAnsi="Arial"/>
        </w:rPr>
      </w:pPr>
      <w:bookmarkStart w:id="73" w:name="_Toc1350"/>
      <w:r>
        <w:rPr>
          <w:rFonts w:hint="eastAsia" w:ascii="Arial" w:hAnsi="Arial"/>
        </w:rPr>
        <w:t>CPU性能推算：</w:t>
      </w:r>
      <w:bookmarkEnd w:id="73"/>
    </w:p>
    <w:p>
      <w:pPr>
        <w:pStyle w:val="53"/>
        <w:spacing w:line="360" w:lineRule="auto"/>
        <w:ind w:left="420"/>
      </w:pPr>
      <w:r>
        <w:rPr>
          <w:rFonts w:hint="eastAsia"/>
        </w:rPr>
        <w:t>根据TPC-C的标准，tpmC值是根据标准模型中New-Order事务的处理数目来计算的，一个New-Order事务由平均4-5个</w:t>
      </w:r>
      <w:r>
        <w:t>线程</w:t>
      </w:r>
      <w:r>
        <w:rPr>
          <w:rFonts w:hint="eastAsia"/>
        </w:rPr>
        <w:t>处理完成，整个测试的执行过程中，New-Order处理占45%。</w:t>
      </w:r>
    </w:p>
    <w:p>
      <w:pPr>
        <w:spacing w:line="360" w:lineRule="auto"/>
        <w:ind w:left="420"/>
        <w:jc w:val="left"/>
      </w:pPr>
      <w:r>
        <w:rPr>
          <w:rFonts w:hint="eastAsia"/>
        </w:rPr>
        <w:t>本次手机过闸系统，包含了数据接收模块、存储模块、防复制模块、报表模块、监控模块等多个功能模块组成，共计至少需要8个应用。</w:t>
      </w:r>
    </w:p>
    <w:p>
      <w:pPr>
        <w:pStyle w:val="53"/>
        <w:spacing w:line="360" w:lineRule="auto"/>
        <w:ind w:left="420"/>
      </w:pPr>
      <w:r>
        <w:rPr>
          <w:rFonts w:hint="eastAsia"/>
        </w:rPr>
        <w:t xml:space="preserve">分析过程：  </w:t>
      </w:r>
    </w:p>
    <w:p>
      <w:pPr>
        <w:pStyle w:val="53"/>
        <w:spacing w:line="360" w:lineRule="auto"/>
        <w:ind w:left="420"/>
      </w:pPr>
      <w:r>
        <w:rPr>
          <w:rFonts w:hint="eastAsia"/>
        </w:rPr>
        <w:t>每笔交易完成需产生</w:t>
      </w:r>
      <w:r>
        <w:t>8次</w:t>
      </w:r>
      <w:r>
        <w:rPr>
          <w:rFonts w:hint="eastAsia"/>
        </w:rPr>
        <w:t>应用</w:t>
      </w:r>
      <w:r>
        <w:t>操作</w:t>
      </w:r>
      <w:r>
        <w:rPr>
          <w:rFonts w:hint="eastAsia"/>
        </w:rPr>
        <w:t xml:space="preserve">， </w:t>
      </w:r>
    </w:p>
    <w:p>
      <w:pPr>
        <w:pStyle w:val="53"/>
        <w:spacing w:line="360" w:lineRule="auto"/>
        <w:ind w:left="420"/>
      </w:pPr>
      <w:r>
        <w:rPr>
          <w:rFonts w:hint="eastAsia"/>
        </w:rPr>
        <w:t>每天数据交易集中在6:30-</w:t>
      </w:r>
      <w:r>
        <w:t>23</w:t>
      </w:r>
      <w:r>
        <w:rPr>
          <w:rFonts w:hint="eastAsia"/>
        </w:rPr>
        <w:t>:00之间发生，总时间为16.5个小时；</w:t>
      </w:r>
    </w:p>
    <w:p>
      <w:pPr>
        <w:pStyle w:val="53"/>
        <w:spacing w:line="360" w:lineRule="auto"/>
        <w:ind w:left="420"/>
        <w:rPr>
          <w:rFonts w:hint="eastAsia"/>
        </w:rPr>
      </w:pPr>
      <w:r>
        <w:rPr>
          <w:rFonts w:hint="eastAsia"/>
        </w:rPr>
        <w:t>每分钟处理：（用户数）32万*</w:t>
      </w:r>
      <w:r>
        <w:t>8</w:t>
      </w:r>
      <w:r>
        <w:rPr>
          <w:rFonts w:hint="eastAsia"/>
        </w:rPr>
        <w:t>/16.5/60≈</w:t>
      </w:r>
      <w:r>
        <w:t>2586</w:t>
      </w:r>
      <w:r>
        <w:rPr>
          <w:rFonts w:hint="eastAsia"/>
        </w:rPr>
        <w:t xml:space="preserve"> Tpm</w:t>
      </w:r>
      <w:r>
        <w:t>C</w:t>
      </w:r>
    </w:p>
    <w:p>
      <w:pPr>
        <w:pStyle w:val="53"/>
        <w:spacing w:line="360" w:lineRule="auto"/>
        <w:ind w:left="420" w:firstLineChars="0"/>
      </w:pPr>
      <w:r>
        <w:rPr>
          <w:rFonts w:hint="eastAsia"/>
        </w:rPr>
        <w:t>要为将来陆续加入的闸机至少预留40%的处理能力；另外，考虑到CPU的繁忙时间低于60%时，系统性能较好，我们把这个比例定在50%。所以系统的TPC-C值应该达到：</w:t>
      </w:r>
      <w:r>
        <w:t>2586</w:t>
      </w:r>
      <w:r>
        <w:rPr>
          <w:rFonts w:hint="eastAsia"/>
        </w:rPr>
        <w:t>÷(</w:t>
      </w:r>
      <w:r>
        <w:t>1-40%</w:t>
      </w:r>
      <w:r>
        <w:rPr>
          <w:rFonts w:hint="eastAsia"/>
        </w:rPr>
        <w:t>)÷50%≈</w:t>
      </w:r>
      <w:r>
        <w:t>8620</w:t>
      </w:r>
      <w:r>
        <w:rPr>
          <w:rFonts w:hint="eastAsia"/>
        </w:rPr>
        <w:t xml:space="preserve"> Tpm</w:t>
      </w:r>
      <w:r>
        <w:t>C</w:t>
      </w:r>
    </w:p>
    <w:p>
      <w:pPr>
        <w:pStyle w:val="53"/>
        <w:spacing w:line="360" w:lineRule="auto"/>
        <w:ind w:left="420"/>
        <w:rPr>
          <w:rFonts w:hint="eastAsia"/>
        </w:rPr>
      </w:pPr>
      <w:r>
        <w:rPr>
          <w:rFonts w:hint="eastAsia"/>
        </w:rPr>
        <w:t>根据TPC-C的标准测，而处理完成一笔交易需执行约</w:t>
      </w:r>
      <w:r>
        <w:t>8</w:t>
      </w:r>
      <w:r>
        <w:rPr>
          <w:rFonts w:hint="eastAsia"/>
        </w:rPr>
        <w:t xml:space="preserve">个应用操作，则估算总处理业务相当的TPC-C值为： </w:t>
      </w:r>
      <w:r>
        <w:t>8</w:t>
      </w:r>
      <w:r>
        <w:rPr>
          <w:rFonts w:hint="eastAsia"/>
        </w:rPr>
        <w:t>*0.45/4=0.</w:t>
      </w:r>
      <w:r>
        <w:t>9</w:t>
      </w:r>
      <w:r>
        <w:rPr>
          <w:rFonts w:hint="eastAsia"/>
        </w:rPr>
        <w:t xml:space="preserve">Tpmc  </w:t>
      </w:r>
    </w:p>
    <w:p>
      <w:pPr>
        <w:pStyle w:val="53"/>
        <w:spacing w:line="360" w:lineRule="auto"/>
        <w:ind w:left="420"/>
        <w:rPr>
          <w:rFonts w:hint="eastAsia"/>
        </w:rPr>
      </w:pPr>
      <w:r>
        <w:rPr>
          <w:rFonts w:hint="eastAsia"/>
        </w:rPr>
        <w:t xml:space="preserve">一天交易总量分析的TPC-C值要求满足： </w:t>
      </w:r>
      <w:r>
        <w:t>8620</w:t>
      </w:r>
      <w:r>
        <w:rPr>
          <w:rFonts w:hint="eastAsia"/>
        </w:rPr>
        <w:t>*0.</w:t>
      </w:r>
      <w:r>
        <w:t>9</w:t>
      </w:r>
      <w:r>
        <w:rPr>
          <w:rFonts w:hint="eastAsia"/>
        </w:rPr>
        <w:t>Tpmc≈</w:t>
      </w:r>
      <w:r>
        <w:t>7758</w:t>
      </w:r>
      <w:r>
        <w:rPr>
          <w:rFonts w:hint="eastAsia"/>
        </w:rPr>
        <w:t>Tpm</w:t>
      </w:r>
      <w:r>
        <w:t>C</w:t>
      </w:r>
      <w:r>
        <w:rPr>
          <w:rFonts w:hint="eastAsia"/>
        </w:rPr>
        <w:t xml:space="preserve"> </w:t>
      </w:r>
    </w:p>
    <w:p>
      <w:pPr>
        <w:pStyle w:val="53"/>
        <w:spacing w:line="360" w:lineRule="auto"/>
        <w:ind w:left="420" w:firstLine="0" w:firstLineChars="0"/>
      </w:pPr>
      <w:r>
        <w:rPr>
          <w:rFonts w:hint="eastAsia"/>
        </w:rPr>
        <w:t>考虑</w:t>
      </w:r>
      <w:r>
        <w:t>30</w:t>
      </w:r>
      <w:r>
        <w:rPr>
          <w:rFonts w:hint="eastAsia"/>
        </w:rPr>
        <w:t>%的冗余（系统其它开销）： 主机性能=</w:t>
      </w:r>
      <w:r>
        <w:t>3017</w:t>
      </w:r>
      <w:r>
        <w:rPr>
          <w:rFonts w:hint="eastAsia"/>
        </w:rPr>
        <w:t>Tpmc*1.</w:t>
      </w:r>
      <w:r>
        <w:t>3</w:t>
      </w:r>
      <w:r>
        <w:rPr>
          <w:rFonts w:hint="eastAsia"/>
        </w:rPr>
        <w:t>≈</w:t>
      </w:r>
      <w:r>
        <w:t>10085</w:t>
      </w:r>
      <w:r>
        <w:rPr>
          <w:rFonts w:hint="eastAsia"/>
        </w:rPr>
        <w:t>Tpmc</w:t>
      </w:r>
    </w:p>
    <w:p>
      <w:pPr>
        <w:spacing w:line="360" w:lineRule="auto"/>
        <w:ind w:left="420" w:firstLine="420"/>
      </w:pPr>
      <w:r>
        <w:rPr>
          <w:rFonts w:hint="eastAsia"/>
        </w:rPr>
        <w:t>在www.tpc.org上公布满配置服务器的TPC-C值，对于非满配置的服务器需要进行估算，按照服务器的TPC-C值和CPU数和频率呈线性关系的特性，根据满配置的服务器大概估算出非满配置的同档次服务器的TPC-C值。那么，</w:t>
      </w:r>
    </w:p>
    <w:p>
      <w:pPr>
        <w:pStyle w:val="53"/>
        <w:spacing w:line="360" w:lineRule="auto"/>
        <w:ind w:left="420" w:firstLine="0" w:firstLineChars="0"/>
      </w:pPr>
      <w:r>
        <w:rPr>
          <w:rFonts w:hint="eastAsia"/>
        </w:rPr>
        <w:t xml:space="preserve"> 目标配置服务器的TPC-C值 ≈（同档次满配测试服务器的TPC-C值÷CPU个数÷CPU主频频率）* 估算服务器的CPU个数*CPU主频频率</w:t>
      </w:r>
    </w:p>
    <w:p>
      <w:pPr>
        <w:spacing w:line="360" w:lineRule="auto"/>
        <w:ind w:left="420" w:firstLine="360"/>
      </w:pPr>
      <w:r>
        <w:t>TPC官网公布</w:t>
      </w:r>
      <w:r>
        <w:rPr>
          <w:rFonts w:hint="eastAsia"/>
        </w:rPr>
        <w:t>：满配</w:t>
      </w:r>
      <w:r>
        <w:t>2</w:t>
      </w:r>
      <w:r>
        <w:rPr>
          <w:rFonts w:hint="eastAsia"/>
        </w:rPr>
        <w:t>颗</w:t>
      </w:r>
      <w:r>
        <w:t>Intel Xeon E5</w:t>
      </w:r>
      <w:r>
        <w:rPr>
          <w:rFonts w:hint="eastAsia"/>
        </w:rPr>
        <w:t>系列（</w:t>
      </w:r>
      <w:r>
        <w:t>2.4GHz/ 16</w:t>
      </w:r>
      <w:r>
        <w:rPr>
          <w:rFonts w:hint="eastAsia"/>
        </w:rPr>
        <w:t>核）的两路服务器的官网测试结果：</w:t>
      </w:r>
      <w:r>
        <w:t>139909 tpmC</w:t>
      </w:r>
    </w:p>
    <w:p>
      <w:pPr>
        <w:spacing w:line="360" w:lineRule="auto"/>
        <w:ind w:left="420" w:firstLine="360"/>
      </w:pPr>
      <w:r>
        <w:t>根据公式</w:t>
      </w:r>
    </w:p>
    <w:p>
      <w:pPr>
        <w:spacing w:line="360" w:lineRule="auto"/>
        <w:ind w:left="420" w:firstLine="360"/>
        <w:rPr>
          <w:color w:val="FF0000"/>
        </w:rPr>
      </w:pPr>
      <w:r>
        <w:rPr>
          <w:rFonts w:hint="eastAsia"/>
        </w:rPr>
        <w:t>设</w:t>
      </w:r>
      <w:r>
        <w:rPr>
          <w:color w:val="FF0000"/>
        </w:rPr>
        <w:t>估算服务器的</w:t>
      </w:r>
      <w:r>
        <w:rPr>
          <w:rFonts w:hint="eastAsia"/>
          <w:color w:val="FF0000"/>
        </w:rPr>
        <w:t xml:space="preserve">CPU个数  </w:t>
      </w:r>
      <w:r>
        <w:rPr>
          <w:rFonts w:hint="eastAsia"/>
        </w:rPr>
        <w:t>为</w:t>
      </w:r>
      <w:r>
        <w:rPr>
          <w:rFonts w:hint="eastAsia"/>
          <w:color w:val="FF0000"/>
        </w:rPr>
        <w:t>X</w:t>
      </w:r>
    </w:p>
    <w:p>
      <w:pPr>
        <w:spacing w:line="360" w:lineRule="auto"/>
        <w:ind w:left="420" w:firstLine="360"/>
      </w:pPr>
      <w:r>
        <w:t>10085 tpmC</w:t>
      </w:r>
      <w:r>
        <w:rPr>
          <w:rFonts w:hint="eastAsia"/>
        </w:rPr>
        <w:t xml:space="preserve"> ≈[</w:t>
      </w:r>
      <w:r>
        <w:t>139909 tpmC</w:t>
      </w:r>
      <w:r>
        <w:rPr>
          <w:rFonts w:hint="eastAsia"/>
        </w:rPr>
        <w:t>÷</w:t>
      </w:r>
      <w:r>
        <w:t>2</w:t>
      </w:r>
      <w:r>
        <w:rPr>
          <w:rFonts w:hint="eastAsia"/>
        </w:rPr>
        <w:t>÷（</w:t>
      </w:r>
      <w:r>
        <w:t>2.4GHz</w:t>
      </w:r>
      <w:r>
        <w:rPr>
          <w:rFonts w:hint="eastAsia"/>
        </w:rPr>
        <w:t>*</w:t>
      </w:r>
      <w:r>
        <w:t>16</w:t>
      </w:r>
      <w:r>
        <w:rPr>
          <w:rFonts w:hint="eastAsia"/>
        </w:rPr>
        <w:t>）]</w:t>
      </w:r>
      <w:r>
        <w:t xml:space="preserve"> </w:t>
      </w:r>
      <w:r>
        <w:rPr>
          <w:rFonts w:hint="eastAsia"/>
        </w:rPr>
        <w:t>*</w:t>
      </w:r>
      <w:r>
        <w:t xml:space="preserve">  </w:t>
      </w:r>
      <w:r>
        <w:rPr>
          <w:rFonts w:hint="eastAsia"/>
          <w:color w:val="FF0000"/>
        </w:rPr>
        <w:t>X</w:t>
      </w:r>
      <w:r>
        <w:rPr>
          <w:color w:val="FF0000"/>
        </w:rPr>
        <w:t xml:space="preserve"> </w:t>
      </w:r>
      <w:r>
        <w:rPr>
          <w:rFonts w:hint="eastAsia"/>
        </w:rPr>
        <w:t>*（</w:t>
      </w:r>
      <w:r>
        <w:t>2.4</w:t>
      </w:r>
      <w:r>
        <w:rPr>
          <w:rFonts w:hint="eastAsia"/>
        </w:rPr>
        <w:t>*</w:t>
      </w:r>
      <w:r>
        <w:t>16</w:t>
      </w:r>
      <w:r>
        <w:rPr>
          <w:rFonts w:hint="eastAsia"/>
        </w:rPr>
        <w:t>）</w:t>
      </w:r>
    </w:p>
    <w:p>
      <w:pPr>
        <w:spacing w:line="360" w:lineRule="auto"/>
        <w:ind w:left="420" w:firstLine="360"/>
      </w:pPr>
      <w:r>
        <w:rPr>
          <w:rFonts w:hint="eastAsia"/>
          <w:color w:val="FF0000"/>
        </w:rPr>
        <w:t>X</w:t>
      </w:r>
      <w:r>
        <w:rPr>
          <w:rFonts w:hint="eastAsia"/>
        </w:rPr>
        <w:t>≈</w:t>
      </w:r>
      <w:r>
        <w:t>10085</w:t>
      </w:r>
      <w:r>
        <w:rPr>
          <w:rFonts w:hint="eastAsia"/>
        </w:rPr>
        <w:t>t</w:t>
      </w:r>
      <w:r>
        <w:t>pmc</w:t>
      </w:r>
      <w:r>
        <w:rPr>
          <w:rFonts w:hint="eastAsia"/>
        </w:rPr>
        <w:t>÷[</w:t>
      </w:r>
      <w:r>
        <w:t>139909tpmC</w:t>
      </w:r>
      <w:r>
        <w:rPr>
          <w:rFonts w:hint="eastAsia"/>
        </w:rPr>
        <w:t>÷</w:t>
      </w:r>
      <w:r>
        <w:t>2</w:t>
      </w:r>
      <w:r>
        <w:rPr>
          <w:rFonts w:hint="eastAsia"/>
        </w:rPr>
        <w:t>÷（</w:t>
      </w:r>
      <w:r>
        <w:t>2.4GHz</w:t>
      </w:r>
      <w:r>
        <w:rPr>
          <w:rFonts w:hint="eastAsia"/>
        </w:rPr>
        <w:t>*</w:t>
      </w:r>
      <w:r>
        <w:t>16</w:t>
      </w:r>
      <w:r>
        <w:rPr>
          <w:rFonts w:hint="eastAsia"/>
        </w:rPr>
        <w:t>）] ÷（</w:t>
      </w:r>
      <w:r>
        <w:t>2.4</w:t>
      </w:r>
      <w:r>
        <w:rPr>
          <w:rFonts w:hint="eastAsia"/>
        </w:rPr>
        <w:t>*</w:t>
      </w:r>
      <w:r>
        <w:t>16</w:t>
      </w:r>
      <w:r>
        <w:rPr>
          <w:rFonts w:hint="eastAsia"/>
        </w:rPr>
        <w:t>）≈</w:t>
      </w:r>
      <w:r>
        <w:t>0.14</w:t>
      </w:r>
    </w:p>
    <w:p>
      <w:pPr>
        <w:spacing w:line="360" w:lineRule="auto"/>
        <w:ind w:left="420" w:firstLine="360"/>
      </w:pPr>
      <w:r>
        <w:rPr>
          <w:rFonts w:hint="eastAsia"/>
        </w:rPr>
        <w:t>根据目前市场CPU主流，配置INTEL志强系列CPU，本次目标配置服务器，配置两台为</w:t>
      </w:r>
      <w:r>
        <w:t>2</w:t>
      </w:r>
      <w:r>
        <w:rPr>
          <w:rFonts w:hint="eastAsia"/>
        </w:rPr>
        <w:t>颗Intel Xeon</w:t>
      </w:r>
      <w:r>
        <w:rPr>
          <w:rFonts w:hint="eastAsia" w:ascii="宋体" w:hAnsi="宋体" w:cs="宋体"/>
          <w:color w:val="000000"/>
          <w:kern w:val="0"/>
          <w:sz w:val="22"/>
        </w:rPr>
        <w:t xml:space="preserve"> </w:t>
      </w:r>
      <w:r>
        <w:rPr>
          <w:rFonts w:hint="eastAsia"/>
        </w:rPr>
        <w:t>E5-2620V4 (2.1GHz/</w:t>
      </w:r>
      <w:r>
        <w:t>8</w:t>
      </w:r>
      <w:r>
        <w:rPr>
          <w:rFonts w:hint="eastAsia"/>
        </w:rPr>
        <w:t>核)处理器可满足业务需求。</w:t>
      </w:r>
    </w:p>
    <w:p>
      <w:pPr>
        <w:pStyle w:val="4"/>
        <w:spacing w:after="156"/>
        <w:ind w:left="960" w:right="240"/>
        <w:rPr>
          <w:rFonts w:hint="eastAsia" w:ascii="Arial" w:hAnsi="Arial"/>
        </w:rPr>
      </w:pPr>
      <w:bookmarkStart w:id="74" w:name="_Toc3934"/>
      <w:r>
        <w:rPr>
          <w:rFonts w:hint="eastAsia" w:ascii="Arial" w:hAnsi="Arial"/>
        </w:rPr>
        <w:t>内存估算</w:t>
      </w:r>
      <w:bookmarkEnd w:id="74"/>
    </w:p>
    <w:p>
      <w:pPr>
        <w:spacing w:line="360" w:lineRule="auto"/>
        <w:ind w:left="420" w:firstLine="360"/>
      </w:pPr>
      <w:r>
        <w:rPr>
          <w:rFonts w:hint="eastAsia"/>
        </w:rPr>
        <w:t>按照64位操作系统和应用配置单核CPU配备4GB内存需求的规则，配置</w:t>
      </w:r>
      <w:r>
        <w:t>16</w:t>
      </w:r>
      <w:r>
        <w:rPr>
          <w:rFonts w:hint="eastAsia"/>
        </w:rPr>
        <w:t xml:space="preserve">核CPU，则服务器内存为 </w:t>
      </w:r>
      <w:r>
        <w:t>64</w:t>
      </w:r>
      <w:r>
        <w:rPr>
          <w:rFonts w:hint="eastAsia"/>
        </w:rPr>
        <w:t>GB。考虑到应用服务器运算占用内存量小，顾配备32GB内存已能满足运算要求。</w:t>
      </w:r>
    </w:p>
    <w:p>
      <w:pPr>
        <w:pStyle w:val="4"/>
        <w:spacing w:after="156"/>
        <w:ind w:left="960" w:right="240"/>
        <w:rPr>
          <w:rFonts w:hint="eastAsia" w:ascii="Arial" w:hAnsi="Arial"/>
        </w:rPr>
      </w:pPr>
      <w:bookmarkStart w:id="75" w:name="_Toc1208"/>
      <w:r>
        <w:rPr>
          <w:rFonts w:hint="eastAsia" w:ascii="Arial" w:hAnsi="Arial"/>
        </w:rPr>
        <w:t>硬盘阵列</w:t>
      </w:r>
      <w:bookmarkEnd w:id="75"/>
    </w:p>
    <w:p>
      <w:pPr>
        <w:spacing w:line="360" w:lineRule="auto"/>
        <w:rPr>
          <w:rFonts w:hint="eastAsia"/>
        </w:rPr>
      </w:pPr>
      <w:r>
        <w:rPr>
          <w:rFonts w:hint="eastAsia"/>
        </w:rPr>
        <w:t xml:space="preserve">   为提高系统及应用数据读写性能采用SSD</w:t>
      </w:r>
      <w:r>
        <w:t xml:space="preserve"> 800GB</w:t>
      </w:r>
      <w:r>
        <w:rPr>
          <w:rFonts w:hint="eastAsia"/>
        </w:rPr>
        <w:t>双硬盘，阵列划分结构为RAID0+1方式。</w:t>
      </w:r>
    </w:p>
    <w:p>
      <w:pPr>
        <w:pStyle w:val="53"/>
        <w:spacing w:line="360" w:lineRule="auto"/>
        <w:ind w:left="420" w:firstLine="0" w:firstLineChars="0"/>
        <w:rPr>
          <w:rFonts w:hint="eastAsia"/>
        </w:rPr>
      </w:pPr>
    </w:p>
    <w:p>
      <w:pPr>
        <w:pStyle w:val="53"/>
        <w:ind w:left="420" w:firstLine="0" w:firstLineChars="0"/>
        <w:rPr>
          <w:rFonts w:hint="eastAsia"/>
        </w:rPr>
      </w:pPr>
    </w:p>
    <w:p>
      <w:pPr>
        <w:pStyle w:val="3"/>
        <w:rPr>
          <w:rFonts w:hint="eastAsia" w:ascii="Arial" w:hAnsi="Arial"/>
        </w:rPr>
      </w:pPr>
      <w:bookmarkStart w:id="76" w:name="_Toc3702"/>
      <w:r>
        <w:rPr>
          <w:rFonts w:hint="eastAsia" w:ascii="Arial" w:hAnsi="Arial"/>
        </w:rPr>
        <w:t>存储服务器</w:t>
      </w:r>
      <w:bookmarkEnd w:id="76"/>
    </w:p>
    <w:p>
      <w:pPr>
        <w:spacing w:line="360" w:lineRule="auto"/>
        <w:ind w:firstLine="420"/>
        <w:jc w:val="left"/>
        <w:rPr>
          <w:rFonts w:cs="Arial" w:asciiTheme="minorEastAsia" w:hAnsiTheme="minorEastAsia"/>
          <w:b/>
          <w:kern w:val="0"/>
          <w:sz w:val="24"/>
          <w:shd w:val="clear" w:color="auto" w:fill="FFFFFF"/>
        </w:rPr>
      </w:pPr>
      <w:r>
        <w:rPr>
          <w:rFonts w:hint="eastAsia" w:cs="Arial" w:asciiTheme="minorEastAsia" w:hAnsiTheme="minorEastAsia"/>
          <w:b/>
          <w:kern w:val="0"/>
          <w:sz w:val="24"/>
          <w:shd w:val="clear" w:color="auto" w:fill="FFFFFF"/>
        </w:rPr>
        <w:t>每个二维码长度为2KB,预估平均每笔交易产生4个IO读写，由此可以计算出平台最大峰值为5000×4=20000 IOPS</w:t>
      </w:r>
    </w:p>
    <w:p>
      <w:pPr>
        <w:spacing w:line="360" w:lineRule="auto"/>
        <w:jc w:val="left"/>
        <w:rPr>
          <w:rFonts w:cs="Arial" w:asciiTheme="minorEastAsia" w:hAnsiTheme="minorEastAsia"/>
          <w:kern w:val="0"/>
          <w:sz w:val="24"/>
          <w:shd w:val="clear" w:color="auto" w:fill="FFFFFF"/>
        </w:rPr>
      </w:pPr>
      <w:r>
        <w:rPr>
          <w:rFonts w:hint="eastAsia" w:cs="Arial" w:asciiTheme="minorEastAsia" w:hAnsiTheme="minorEastAsia"/>
          <w:kern w:val="0"/>
          <w:sz w:val="24"/>
          <w:shd w:val="clear" w:color="auto" w:fill="FFFFFF"/>
        </w:rPr>
        <w:t>需要采用中高端的存储阵列作为集中存储。</w:t>
      </w:r>
    </w:p>
    <w:p>
      <w:pPr>
        <w:spacing w:line="360" w:lineRule="auto"/>
        <w:jc w:val="left"/>
        <w:rPr>
          <w:rFonts w:cs="Arial" w:asciiTheme="minorEastAsia" w:hAnsiTheme="minorEastAsia"/>
          <w:kern w:val="0"/>
          <w:sz w:val="24"/>
          <w:shd w:val="clear" w:color="auto" w:fill="FFFFFF"/>
        </w:rPr>
      </w:pPr>
      <w:r>
        <w:rPr>
          <w:rFonts w:hint="eastAsia" w:cs="Arial" w:asciiTheme="minorEastAsia" w:hAnsiTheme="minorEastAsia"/>
          <w:kern w:val="0"/>
          <w:sz w:val="24"/>
          <w:shd w:val="clear" w:color="auto" w:fill="FFFFFF"/>
        </w:rPr>
        <w:t>采用SSD和SAS进行SSD自动分层存储。</w:t>
      </w:r>
    </w:p>
    <w:p>
      <w:pPr>
        <w:spacing w:line="360" w:lineRule="auto"/>
        <w:jc w:val="left"/>
        <w:rPr>
          <w:rFonts w:cs="Arial" w:asciiTheme="minorEastAsia" w:hAnsiTheme="minorEastAsia"/>
          <w:kern w:val="0"/>
          <w:sz w:val="24"/>
          <w:shd w:val="clear" w:color="auto" w:fill="FFFFFF"/>
        </w:rPr>
      </w:pPr>
      <w:r>
        <w:rPr>
          <w:rFonts w:hint="eastAsia" w:cs="Arial" w:asciiTheme="minorEastAsia" w:hAnsiTheme="minorEastAsia"/>
          <w:kern w:val="0"/>
          <w:sz w:val="24"/>
          <w:shd w:val="clear" w:color="auto" w:fill="FFFFFF"/>
        </w:rPr>
        <w:t>每块10k SAS磁盘最多可以承载200iops计算，SSD磁盘可承载</w:t>
      </w:r>
      <w:r>
        <w:rPr>
          <w:sz w:val="24"/>
        </w:rPr>
        <w:t>6000</w:t>
      </w:r>
      <w:r>
        <w:rPr>
          <w:rFonts w:hint="eastAsia" w:cs="Arial" w:asciiTheme="minorEastAsia" w:hAnsiTheme="minorEastAsia"/>
          <w:kern w:val="0"/>
          <w:sz w:val="24"/>
          <w:shd w:val="clear" w:color="auto" w:fill="FFFFFF"/>
        </w:rPr>
        <w:t xml:space="preserve"> iops计算。</w:t>
      </w:r>
    </w:p>
    <w:p>
      <w:pPr>
        <w:spacing w:line="360" w:lineRule="auto"/>
        <w:jc w:val="left"/>
        <w:rPr>
          <w:rFonts w:cs="Arial" w:asciiTheme="minorEastAsia" w:hAnsiTheme="minorEastAsia"/>
          <w:kern w:val="0"/>
          <w:sz w:val="24"/>
          <w:shd w:val="clear" w:color="auto" w:fill="FFFFFF"/>
        </w:rPr>
      </w:pPr>
      <w:r>
        <w:rPr>
          <w:rFonts w:hint="eastAsia" w:cs="Arial" w:asciiTheme="minorEastAsia" w:hAnsiTheme="minorEastAsia"/>
          <w:kern w:val="0"/>
          <w:sz w:val="24"/>
          <w:shd w:val="clear" w:color="auto" w:fill="FFFFFF"/>
        </w:rPr>
        <w:t>则本次建议配置4个800GB SSD。</w:t>
      </w:r>
    </w:p>
    <w:p>
      <w:pPr>
        <w:widowControl/>
        <w:spacing w:line="360" w:lineRule="auto"/>
        <w:jc w:val="left"/>
        <w:rPr>
          <w:rFonts w:cs="Arial" w:asciiTheme="minorEastAsia" w:hAnsiTheme="minorEastAsia"/>
          <w:kern w:val="0"/>
          <w:sz w:val="24"/>
          <w:shd w:val="clear" w:color="auto" w:fill="FFFFFF"/>
        </w:rPr>
      </w:pPr>
      <w:r>
        <w:rPr>
          <w:rFonts w:hint="eastAsia" w:cs="Arial" w:asciiTheme="minorEastAsia" w:hAnsiTheme="minorEastAsia"/>
          <w:kern w:val="0"/>
          <w:sz w:val="24"/>
          <w:shd w:val="clear" w:color="auto" w:fill="FFFFFF"/>
        </w:rPr>
        <w:t>容量需求，300万*2KB*2年（2*365）=4TB，考虑未来容量增长，配置12*1.2TB SAS硬盘。</w:t>
      </w:r>
    </w:p>
    <w:p>
      <w:r>
        <w:rPr>
          <w:rFonts w:hint="eastAsia" w:cs="Arial" w:asciiTheme="minorEastAsia" w:hAnsiTheme="minorEastAsia"/>
          <w:b/>
          <w:kern w:val="0"/>
          <w:sz w:val="24"/>
          <w:shd w:val="clear" w:color="auto" w:fill="FFFFFF"/>
        </w:rPr>
        <w:t>即：双控制器，8×8Gb FC接口，硬盘4×800GB SSD，12×1200GB SAS</w:t>
      </w:r>
    </w:p>
    <w:p>
      <w:pPr>
        <w:spacing w:afterLines="0"/>
        <w:rPr>
          <w:rFonts w:hint="eastAsia"/>
          <w:b/>
          <w:bCs/>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spacing w:after="12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22</w:t>
    </w:r>
    <w:r>
      <w:rPr>
        <w:b/>
        <w:bCs/>
        <w:sz w:val="24"/>
        <w:szCs w:val="24"/>
      </w:rPr>
      <w:fldChar w:fldCharType="end"/>
    </w:r>
  </w:p>
  <w:p>
    <w:pPr>
      <w:pStyle w:val="24"/>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spacing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C7AE5B"/>
    <w:multiLevelType w:val="singleLevel"/>
    <w:tmpl w:val="DEC7AE5B"/>
    <w:lvl w:ilvl="0" w:tentative="0">
      <w:start w:val="1"/>
      <w:numFmt w:val="decimal"/>
      <w:lvlText w:val="(%1)"/>
      <w:lvlJc w:val="left"/>
      <w:pPr>
        <w:ind w:left="425" w:hanging="425"/>
      </w:pPr>
      <w:rPr>
        <w:rFonts w:hint="default"/>
      </w:rPr>
    </w:lvl>
  </w:abstractNum>
  <w:abstractNum w:abstractNumId="1">
    <w:nsid w:val="00000008"/>
    <w:multiLevelType w:val="multilevel"/>
    <w:tmpl w:val="00000008"/>
    <w:lvl w:ilvl="0" w:tentative="0">
      <w:start w:val="1"/>
      <w:numFmt w:val="bullet"/>
      <w:lvlText w:val=""/>
      <w:lvlJc w:val="left"/>
      <w:pPr>
        <w:tabs>
          <w:tab w:val="left" w:pos="817"/>
        </w:tabs>
        <w:ind w:left="817" w:hanging="420"/>
      </w:pPr>
      <w:rPr>
        <w:rFonts w:hint="default" w:ascii="Wingdings" w:hAnsi="Wingdings"/>
      </w:rPr>
    </w:lvl>
    <w:lvl w:ilvl="1" w:tentative="0">
      <w:start w:val="1"/>
      <w:numFmt w:val="bullet"/>
      <w:lvlText w:val=""/>
      <w:lvlJc w:val="left"/>
      <w:pPr>
        <w:tabs>
          <w:tab w:val="left" w:pos="1237"/>
        </w:tabs>
        <w:ind w:left="1237" w:hanging="420"/>
      </w:pPr>
      <w:rPr>
        <w:rFonts w:hint="default" w:ascii="Wingdings" w:hAnsi="Wingdings"/>
      </w:rPr>
    </w:lvl>
    <w:lvl w:ilvl="2" w:tentative="0">
      <w:start w:val="1"/>
      <w:numFmt w:val="bullet"/>
      <w:lvlText w:val=""/>
      <w:lvlJc w:val="left"/>
      <w:pPr>
        <w:tabs>
          <w:tab w:val="left" w:pos="1657"/>
        </w:tabs>
        <w:ind w:left="1657" w:hanging="420"/>
      </w:pPr>
      <w:rPr>
        <w:rFonts w:hint="default" w:ascii="Wingdings" w:hAnsi="Wingdings"/>
      </w:rPr>
    </w:lvl>
    <w:lvl w:ilvl="3" w:tentative="0">
      <w:start w:val="1"/>
      <w:numFmt w:val="bullet"/>
      <w:lvlText w:val=""/>
      <w:lvlJc w:val="left"/>
      <w:pPr>
        <w:tabs>
          <w:tab w:val="left" w:pos="2077"/>
        </w:tabs>
        <w:ind w:left="2077" w:hanging="420"/>
      </w:pPr>
      <w:rPr>
        <w:rFonts w:hint="default" w:ascii="Wingdings" w:hAnsi="Wingdings"/>
      </w:rPr>
    </w:lvl>
    <w:lvl w:ilvl="4" w:tentative="0">
      <w:start w:val="1"/>
      <w:numFmt w:val="bullet"/>
      <w:lvlText w:val=""/>
      <w:lvlJc w:val="left"/>
      <w:pPr>
        <w:tabs>
          <w:tab w:val="left" w:pos="2497"/>
        </w:tabs>
        <w:ind w:left="2497" w:hanging="420"/>
      </w:pPr>
      <w:rPr>
        <w:rFonts w:hint="default" w:ascii="Wingdings" w:hAnsi="Wingdings"/>
      </w:rPr>
    </w:lvl>
    <w:lvl w:ilvl="5" w:tentative="0">
      <w:start w:val="1"/>
      <w:numFmt w:val="bullet"/>
      <w:lvlText w:val=""/>
      <w:lvlJc w:val="left"/>
      <w:pPr>
        <w:tabs>
          <w:tab w:val="left" w:pos="2917"/>
        </w:tabs>
        <w:ind w:left="2917" w:hanging="420"/>
      </w:pPr>
      <w:rPr>
        <w:rFonts w:hint="default" w:ascii="Wingdings" w:hAnsi="Wingdings"/>
      </w:rPr>
    </w:lvl>
    <w:lvl w:ilvl="6" w:tentative="0">
      <w:start w:val="1"/>
      <w:numFmt w:val="bullet"/>
      <w:lvlText w:val=""/>
      <w:lvlJc w:val="left"/>
      <w:pPr>
        <w:tabs>
          <w:tab w:val="left" w:pos="3337"/>
        </w:tabs>
        <w:ind w:left="3337" w:hanging="420"/>
      </w:pPr>
      <w:rPr>
        <w:rFonts w:hint="default" w:ascii="Wingdings" w:hAnsi="Wingdings"/>
      </w:rPr>
    </w:lvl>
    <w:lvl w:ilvl="7" w:tentative="0">
      <w:start w:val="1"/>
      <w:numFmt w:val="bullet"/>
      <w:lvlText w:val=""/>
      <w:lvlJc w:val="left"/>
      <w:pPr>
        <w:tabs>
          <w:tab w:val="left" w:pos="3757"/>
        </w:tabs>
        <w:ind w:left="3757" w:hanging="420"/>
      </w:pPr>
      <w:rPr>
        <w:rFonts w:hint="default" w:ascii="Wingdings" w:hAnsi="Wingdings"/>
      </w:rPr>
    </w:lvl>
    <w:lvl w:ilvl="8" w:tentative="0">
      <w:start w:val="1"/>
      <w:numFmt w:val="bullet"/>
      <w:lvlText w:val=""/>
      <w:lvlJc w:val="left"/>
      <w:pPr>
        <w:tabs>
          <w:tab w:val="left" w:pos="4177"/>
        </w:tabs>
        <w:ind w:left="4177" w:hanging="420"/>
      </w:pPr>
      <w:rPr>
        <w:rFonts w:hint="default" w:ascii="Wingdings" w:hAnsi="Wingdings"/>
      </w:rPr>
    </w:lvl>
  </w:abstractNum>
  <w:abstractNum w:abstractNumId="2">
    <w:nsid w:val="0330039F"/>
    <w:multiLevelType w:val="multilevel"/>
    <w:tmpl w:val="0330039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34F16D8"/>
    <w:multiLevelType w:val="multilevel"/>
    <w:tmpl w:val="034F16D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0C3A500F"/>
    <w:multiLevelType w:val="multilevel"/>
    <w:tmpl w:val="0C3A500F"/>
    <w:lvl w:ilvl="0" w:tentative="0">
      <w:start w:val="1"/>
      <w:numFmt w:val="decimal"/>
      <w:lvlText w:val="%1、"/>
      <w:lvlJc w:val="left"/>
      <w:pPr>
        <w:ind w:left="360" w:hanging="36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2DC3D40"/>
    <w:multiLevelType w:val="multilevel"/>
    <w:tmpl w:val="12DC3D40"/>
    <w:lvl w:ilvl="0" w:tentative="0">
      <w:start w:val="1"/>
      <w:numFmt w:val="decimal"/>
      <w:lvlText w:val="（%1）"/>
      <w:lvlJc w:val="left"/>
      <w:pPr>
        <w:ind w:left="840" w:hanging="420"/>
      </w:pPr>
      <w:rPr>
        <w:rFonts w:ascii="Times New Roman" w:hAnsi="Times New Roman" w:eastAsia="宋体" w:cs="宋体"/>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1B647255"/>
    <w:multiLevelType w:val="multilevel"/>
    <w:tmpl w:val="1B647255"/>
    <w:lvl w:ilvl="0" w:tentative="0">
      <w:start w:val="1"/>
      <w:numFmt w:val="chineseCountingThousand"/>
      <w:pStyle w:val="79"/>
      <w:lvlText w:val="第%1章"/>
      <w:lvlJc w:val="left"/>
      <w:pPr>
        <w:tabs>
          <w:tab w:val="left" w:pos="600"/>
        </w:tabs>
        <w:ind w:left="600" w:hanging="600"/>
      </w:pPr>
      <w:rPr>
        <w:rFonts w:hint="default" w:ascii="Arial" w:hAnsi="Arial" w:eastAsia="黑体"/>
        <w:b/>
        <w:i w:val="0"/>
        <w:sz w:val="36"/>
      </w:rPr>
    </w:lvl>
    <w:lvl w:ilvl="1" w:tentative="0">
      <w:start w:val="1"/>
      <w:numFmt w:val="decimal"/>
      <w:pStyle w:val="80"/>
      <w:isLgl/>
      <w:lvlText w:val="%2"/>
      <w:lvlJc w:val="left"/>
      <w:pPr>
        <w:tabs>
          <w:tab w:val="left" w:pos="1134"/>
        </w:tabs>
        <w:ind w:left="1134" w:hanging="1134"/>
      </w:pPr>
      <w:rPr>
        <w:rFonts w:hint="default" w:ascii="Arial" w:hAnsi="Arial" w:eastAsia="黑体"/>
        <w:b/>
        <w:i w:val="0"/>
        <w:sz w:val="32"/>
      </w:rPr>
    </w:lvl>
    <w:lvl w:ilvl="2" w:tentative="0">
      <w:start w:val="1"/>
      <w:numFmt w:val="decimal"/>
      <w:pStyle w:val="81"/>
      <w:isLgl/>
      <w:lvlText w:val="%2.%3"/>
      <w:lvlJc w:val="left"/>
      <w:pPr>
        <w:tabs>
          <w:tab w:val="left" w:pos="851"/>
        </w:tabs>
        <w:ind w:left="851" w:hanging="851"/>
      </w:pPr>
      <w:rPr>
        <w:rFonts w:hint="default" w:ascii="Arial" w:hAnsi="Arial" w:eastAsia="黑体"/>
        <w:b/>
        <w:i w:val="0"/>
        <w:sz w:val="30"/>
      </w:rPr>
    </w:lvl>
    <w:lvl w:ilvl="3" w:tentative="0">
      <w:start w:val="1"/>
      <w:numFmt w:val="decimal"/>
      <w:pStyle w:val="82"/>
      <w:isLgl/>
      <w:lvlText w:val="%2.%3.%4"/>
      <w:lvlJc w:val="left"/>
      <w:pPr>
        <w:tabs>
          <w:tab w:val="left" w:pos="1134"/>
        </w:tabs>
        <w:ind w:left="1134" w:hanging="1134"/>
      </w:pPr>
      <w:rPr>
        <w:rFonts w:hint="default" w:ascii="Arial" w:hAnsi="Arial" w:eastAsia="黑体"/>
        <w:b/>
        <w:i w:val="0"/>
        <w:sz w:val="28"/>
      </w:rPr>
    </w:lvl>
    <w:lvl w:ilvl="4" w:tentative="0">
      <w:start w:val="1"/>
      <w:numFmt w:val="decimal"/>
      <w:pStyle w:val="83"/>
      <w:isLgl/>
      <w:lvlText w:val="%2.%3.%4.%5"/>
      <w:lvlJc w:val="left"/>
      <w:pPr>
        <w:tabs>
          <w:tab w:val="left" w:pos="992"/>
        </w:tabs>
        <w:ind w:left="992" w:hanging="992"/>
      </w:pPr>
      <w:rPr>
        <w:rFonts w:hint="default" w:ascii="Arial" w:hAnsi="Arial" w:eastAsia="黑体"/>
        <w:b/>
        <w:i w:val="0"/>
        <w:sz w:val="24"/>
      </w:rPr>
    </w:lvl>
    <w:lvl w:ilvl="5" w:tentative="0">
      <w:start w:val="1"/>
      <w:numFmt w:val="decimal"/>
      <w:pStyle w:val="88"/>
      <w:isLgl/>
      <w:lvlText w:val="%2.%3.%4.%5.%6"/>
      <w:lvlJc w:val="left"/>
      <w:pPr>
        <w:tabs>
          <w:tab w:val="left" w:pos="1134"/>
        </w:tabs>
        <w:ind w:left="1134" w:hanging="1134"/>
      </w:pPr>
      <w:rPr>
        <w:rFonts w:hint="default" w:ascii="Arial" w:hAnsi="Arial" w:eastAsia="黑体"/>
        <w:sz w:val="24"/>
      </w:rPr>
    </w:lvl>
    <w:lvl w:ilvl="6" w:tentative="0">
      <w:start w:val="1"/>
      <w:numFmt w:val="decimal"/>
      <w:pStyle w:val="89"/>
      <w:isLgl/>
      <w:lvlText w:val="%2.%3.%4.%5.%6.%7"/>
      <w:lvlJc w:val="left"/>
      <w:pPr>
        <w:tabs>
          <w:tab w:val="left" w:pos="1276"/>
        </w:tabs>
        <w:ind w:left="1276" w:hanging="1276"/>
      </w:pPr>
      <w:rPr>
        <w:rFonts w:hint="eastAsia"/>
      </w:rPr>
    </w:lvl>
    <w:lvl w:ilvl="7" w:tentative="0">
      <w:start w:val="1"/>
      <w:numFmt w:val="decimal"/>
      <w:isLgl/>
      <w:lvlText w:val="%1.%2.%3.%4.%5.%6.%7.%8."/>
      <w:lvlJc w:val="left"/>
      <w:pPr>
        <w:tabs>
          <w:tab w:val="left" w:pos="1418"/>
        </w:tabs>
        <w:ind w:left="1418" w:hanging="1418"/>
      </w:pPr>
      <w:rPr>
        <w:rFonts w:hint="eastAsia"/>
      </w:rPr>
    </w:lvl>
    <w:lvl w:ilvl="8" w:tentative="0">
      <w:start w:val="1"/>
      <w:numFmt w:val="decimal"/>
      <w:isLgl/>
      <w:lvlText w:val="%1.%2.%3.%4.%5.%6.%7.%8.%9."/>
      <w:lvlJc w:val="left"/>
      <w:pPr>
        <w:tabs>
          <w:tab w:val="left" w:pos="1559"/>
        </w:tabs>
        <w:ind w:left="1559" w:hanging="1559"/>
      </w:pPr>
      <w:rPr>
        <w:rFonts w:hint="eastAsia"/>
      </w:rPr>
    </w:lvl>
  </w:abstractNum>
  <w:abstractNum w:abstractNumId="7">
    <w:nsid w:val="224F6600"/>
    <w:multiLevelType w:val="multilevel"/>
    <w:tmpl w:val="224F6600"/>
    <w:lvl w:ilvl="0" w:tentative="0">
      <w:start w:val="1"/>
      <w:numFmt w:val="decimal"/>
      <w:lvlText w:val="（%1）"/>
      <w:lvlJc w:val="left"/>
      <w:pPr>
        <w:ind w:left="780" w:hanging="360"/>
      </w:pPr>
      <w:rPr>
        <w:rFonts w:ascii="Times New Roman" w:hAnsi="Times New Roman" w:eastAsia="宋体" w:cs="Times New Roman"/>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2C711941"/>
    <w:multiLevelType w:val="multilevel"/>
    <w:tmpl w:val="2C711941"/>
    <w:lvl w:ilvl="0" w:tentative="0">
      <w:start w:val="1"/>
      <w:numFmt w:val="none"/>
      <w:pStyle w:val="85"/>
      <w:lvlText w:val="%1●"/>
      <w:lvlJc w:val="left"/>
      <w:pPr>
        <w:tabs>
          <w:tab w:val="left" w:pos="907"/>
        </w:tabs>
        <w:ind w:left="907" w:hanging="340"/>
      </w:pPr>
      <w:rPr>
        <w:rFonts w:hint="default" w:ascii="Times New Roman" w:hAnsi="Times New Roman" w:eastAsia="宋体"/>
      </w:rPr>
    </w:lvl>
    <w:lvl w:ilvl="1" w:tentative="0">
      <w:start w:val="1"/>
      <w:numFmt w:val="none"/>
      <w:lvlRestart w:val="0"/>
      <w:lvlText w:val="%1▪"/>
      <w:lvlJc w:val="left"/>
      <w:pPr>
        <w:tabs>
          <w:tab w:val="left" w:pos="1361"/>
        </w:tabs>
        <w:ind w:left="1361" w:hanging="454"/>
      </w:pPr>
      <w:rPr>
        <w:rFonts w:hint="eastAsia"/>
      </w:rPr>
    </w:lvl>
    <w:lvl w:ilvl="2" w:tentative="0">
      <w:start w:val="1"/>
      <w:numFmt w:val="decimal"/>
      <w:lvlText w:val="%1.%2.%3"/>
      <w:lvlJc w:val="left"/>
      <w:pPr>
        <w:tabs>
          <w:tab w:val="left" w:pos="1931"/>
        </w:tabs>
        <w:ind w:left="1418" w:hanging="567"/>
      </w:pPr>
      <w:rPr>
        <w:rFonts w:hint="eastAsia"/>
      </w:rPr>
    </w:lvl>
    <w:lvl w:ilvl="3" w:tentative="0">
      <w:start w:val="1"/>
      <w:numFmt w:val="decimal"/>
      <w:lvlText w:val="%1.%2.%3.%4"/>
      <w:lvlJc w:val="left"/>
      <w:pPr>
        <w:tabs>
          <w:tab w:val="left" w:pos="2716"/>
        </w:tabs>
        <w:ind w:left="1984" w:hanging="708"/>
      </w:pPr>
      <w:rPr>
        <w:rFonts w:hint="eastAsia"/>
      </w:rPr>
    </w:lvl>
    <w:lvl w:ilvl="4" w:tentative="0">
      <w:start w:val="1"/>
      <w:numFmt w:val="decimal"/>
      <w:lvlText w:val="%1.%2.%3.%4.%5"/>
      <w:lvlJc w:val="left"/>
      <w:pPr>
        <w:tabs>
          <w:tab w:val="left" w:pos="3501"/>
        </w:tabs>
        <w:ind w:left="2551" w:hanging="850"/>
      </w:pPr>
      <w:rPr>
        <w:rFonts w:hint="eastAsia"/>
      </w:rPr>
    </w:lvl>
    <w:lvl w:ilvl="5" w:tentative="0">
      <w:start w:val="1"/>
      <w:numFmt w:val="decimal"/>
      <w:lvlText w:val="%1.%2.%3.%4.%5.%6"/>
      <w:lvlJc w:val="left"/>
      <w:pPr>
        <w:tabs>
          <w:tab w:val="left" w:pos="4286"/>
        </w:tabs>
        <w:ind w:left="3260" w:hanging="1134"/>
      </w:pPr>
      <w:rPr>
        <w:rFonts w:hint="eastAsia"/>
      </w:rPr>
    </w:lvl>
    <w:lvl w:ilvl="6" w:tentative="0">
      <w:start w:val="1"/>
      <w:numFmt w:val="decimal"/>
      <w:lvlText w:val="%1.%2.%3.%4.%5.%6.%7"/>
      <w:lvlJc w:val="left"/>
      <w:pPr>
        <w:tabs>
          <w:tab w:val="left" w:pos="5071"/>
        </w:tabs>
        <w:ind w:left="3827" w:hanging="1276"/>
      </w:pPr>
      <w:rPr>
        <w:rFonts w:hint="eastAsia"/>
      </w:rPr>
    </w:lvl>
    <w:lvl w:ilvl="7" w:tentative="0">
      <w:start w:val="1"/>
      <w:numFmt w:val="decimal"/>
      <w:lvlText w:val="%1.%2.%3.%4.%5.%6.%7.%8"/>
      <w:lvlJc w:val="left"/>
      <w:pPr>
        <w:tabs>
          <w:tab w:val="left" w:pos="5856"/>
        </w:tabs>
        <w:ind w:left="4394" w:hanging="1418"/>
      </w:pPr>
      <w:rPr>
        <w:rFonts w:hint="eastAsia"/>
      </w:rPr>
    </w:lvl>
    <w:lvl w:ilvl="8" w:tentative="0">
      <w:start w:val="1"/>
      <w:numFmt w:val="decimal"/>
      <w:lvlText w:val="%1.%2.%3.%4.%5.%6.%7.%8.%9"/>
      <w:lvlJc w:val="left"/>
      <w:pPr>
        <w:tabs>
          <w:tab w:val="left" w:pos="6642"/>
        </w:tabs>
        <w:ind w:left="5102" w:hanging="1700"/>
      </w:pPr>
      <w:rPr>
        <w:rFonts w:hint="eastAsia"/>
      </w:rPr>
    </w:lvl>
  </w:abstractNum>
  <w:abstractNum w:abstractNumId="9">
    <w:nsid w:val="3255199E"/>
    <w:multiLevelType w:val="multilevel"/>
    <w:tmpl w:val="3255199E"/>
    <w:lvl w:ilvl="0" w:tentative="0">
      <w:start w:val="1"/>
      <w:numFmt w:val="decimal"/>
      <w:lvlText w:val="（%1）"/>
      <w:lvlJc w:val="left"/>
      <w:pPr>
        <w:ind w:left="1440" w:hanging="10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6C56D4F"/>
    <w:multiLevelType w:val="multilevel"/>
    <w:tmpl w:val="36C56D4F"/>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3A092B66"/>
    <w:multiLevelType w:val="multilevel"/>
    <w:tmpl w:val="3A092B66"/>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
    <w:nsid w:val="3DFB1435"/>
    <w:multiLevelType w:val="multilevel"/>
    <w:tmpl w:val="3DFB1435"/>
    <w:lvl w:ilvl="0" w:tentative="0">
      <w:start w:val="1"/>
      <w:numFmt w:val="decimal"/>
      <w:pStyle w:val="100"/>
      <w:lvlText w:val="%1."/>
      <w:lvlJc w:val="left"/>
      <w:pPr>
        <w:ind w:left="620" w:hanging="420"/>
      </w:pPr>
      <w:rPr>
        <w:rFonts w:hint="eastAsia"/>
        <w:b/>
        <w:i w:val="0"/>
        <w:color w:val="auto"/>
      </w:rPr>
    </w:lvl>
    <w:lvl w:ilvl="1" w:tentative="0">
      <w:start w:val="1"/>
      <w:numFmt w:val="lowerLetter"/>
      <w:lvlText w:val="%2)"/>
      <w:lvlJc w:val="left"/>
      <w:pPr>
        <w:ind w:left="1040" w:hanging="420"/>
      </w:p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13">
    <w:nsid w:val="458C48DE"/>
    <w:multiLevelType w:val="multilevel"/>
    <w:tmpl w:val="458C48DE"/>
    <w:lvl w:ilvl="0" w:tentative="0">
      <w:start w:val="1"/>
      <w:numFmt w:val="decimal"/>
      <w:lvlText w:val="（%1）"/>
      <w:lvlJc w:val="left"/>
      <w:pPr>
        <w:ind w:left="840" w:hanging="420"/>
      </w:pPr>
      <w:rPr>
        <w:rFonts w:ascii="Times New Roman" w:hAnsi="Times New Roman" w:eastAsia="宋体" w:cs="宋体"/>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4BBD5F3A"/>
    <w:multiLevelType w:val="multilevel"/>
    <w:tmpl w:val="4BBD5F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65664A5E"/>
    <w:multiLevelType w:val="multilevel"/>
    <w:tmpl w:val="65664A5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685B27D5"/>
    <w:multiLevelType w:val="multilevel"/>
    <w:tmpl w:val="685B27D5"/>
    <w:lvl w:ilvl="0" w:tentative="0">
      <w:start w:val="1"/>
      <w:numFmt w:val="decimal"/>
      <w:pStyle w:val="42"/>
      <w:lvlText w:val="图%1："/>
      <w:lvlJc w:val="left"/>
      <w:pPr>
        <w:tabs>
          <w:tab w:val="left" w:pos="420"/>
        </w:tabs>
        <w:ind w:left="420" w:hanging="420"/>
      </w:pPr>
      <w:rPr>
        <w:rFonts w:hint="default" w:ascii="Arial" w:hAnsi="Arial" w:eastAsia="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725A2E0D"/>
    <w:multiLevelType w:val="multilevel"/>
    <w:tmpl w:val="725A2E0D"/>
    <w:lvl w:ilvl="0" w:tentative="0">
      <w:start w:val="1"/>
      <w:numFmt w:val="decimal"/>
      <w:pStyle w:val="43"/>
      <w:lvlText w:val="表%1："/>
      <w:lvlJc w:val="left"/>
      <w:pPr>
        <w:tabs>
          <w:tab w:val="left" w:pos="420"/>
        </w:tabs>
        <w:ind w:left="420" w:hanging="420"/>
      </w:pPr>
      <w:rPr>
        <w:rFonts w:hint="default" w:ascii="Arial" w:hAnsi="Arial" w:eastAsia="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75C4362C"/>
    <w:multiLevelType w:val="multilevel"/>
    <w:tmpl w:val="75C4362C"/>
    <w:lvl w:ilvl="0" w:tentative="0">
      <w:start w:val="1"/>
      <w:numFmt w:val="decimal"/>
      <w:pStyle w:val="2"/>
      <w:lvlText w:val="%1"/>
      <w:lvlJc w:val="left"/>
      <w:pPr>
        <w:ind w:left="432" w:hanging="43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1" w:tentative="0">
      <w:start w:val="1"/>
      <w:numFmt w:val="decimal"/>
      <w:pStyle w:val="3"/>
      <w:lvlText w:val="%1.%2"/>
      <w:lvlJc w:val="left"/>
      <w:pPr>
        <w:ind w:left="576" w:hanging="576"/>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2" w:tentative="0">
      <w:start w:val="1"/>
      <w:numFmt w:val="decimal"/>
      <w:pStyle w:val="4"/>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3" w:tentative="0">
      <w:start w:val="1"/>
      <w:numFmt w:val="decimal"/>
      <w:pStyle w:val="5"/>
      <w:lvlText w:val="%1.%2.%3.%4"/>
      <w:lvlJc w:val="left"/>
      <w:pPr>
        <w:ind w:left="864" w:hanging="864"/>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8"/>
  </w:num>
  <w:num w:numId="2">
    <w:abstractNumId w:val="16"/>
  </w:num>
  <w:num w:numId="3">
    <w:abstractNumId w:val="17"/>
  </w:num>
  <w:num w:numId="4">
    <w:abstractNumId w:val="6"/>
  </w:num>
  <w:num w:numId="5">
    <w:abstractNumId w:val="8"/>
  </w:num>
  <w:num w:numId="6">
    <w:abstractNumId w:val="12"/>
  </w:num>
  <w:num w:numId="7">
    <w:abstractNumId w:val="1"/>
  </w:num>
  <w:num w:numId="8">
    <w:abstractNumId w:val="2"/>
  </w:num>
  <w:num w:numId="9">
    <w:abstractNumId w:val="15"/>
  </w:num>
  <w:num w:numId="10">
    <w:abstractNumId w:val="4"/>
  </w:num>
  <w:num w:numId="11">
    <w:abstractNumId w:val="9"/>
  </w:num>
  <w:num w:numId="12">
    <w:abstractNumId w:val="5"/>
  </w:num>
  <w:num w:numId="13">
    <w:abstractNumId w:val="13"/>
  </w:num>
  <w:num w:numId="14">
    <w:abstractNumId w:val="7"/>
  </w:num>
  <w:num w:numId="15">
    <w:abstractNumId w:val="14"/>
  </w:num>
  <w:num w:numId="16">
    <w:abstractNumId w:val="11"/>
  </w:num>
  <w:num w:numId="17">
    <w:abstractNumId w:val="10"/>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12"/>
    <w:rsid w:val="0000368F"/>
    <w:rsid w:val="00004382"/>
    <w:rsid w:val="00005B49"/>
    <w:rsid w:val="00006E81"/>
    <w:rsid w:val="000074BF"/>
    <w:rsid w:val="00010211"/>
    <w:rsid w:val="0001149C"/>
    <w:rsid w:val="00014462"/>
    <w:rsid w:val="000166CB"/>
    <w:rsid w:val="00021734"/>
    <w:rsid w:val="0002196D"/>
    <w:rsid w:val="00023B23"/>
    <w:rsid w:val="000247D9"/>
    <w:rsid w:val="000304B7"/>
    <w:rsid w:val="0003136B"/>
    <w:rsid w:val="00033886"/>
    <w:rsid w:val="000355C1"/>
    <w:rsid w:val="0003773D"/>
    <w:rsid w:val="000430DC"/>
    <w:rsid w:val="000477EF"/>
    <w:rsid w:val="00050460"/>
    <w:rsid w:val="000564F6"/>
    <w:rsid w:val="00056B6B"/>
    <w:rsid w:val="00056FE2"/>
    <w:rsid w:val="000627BE"/>
    <w:rsid w:val="00064919"/>
    <w:rsid w:val="0006767D"/>
    <w:rsid w:val="00070B45"/>
    <w:rsid w:val="00071D4B"/>
    <w:rsid w:val="000743BC"/>
    <w:rsid w:val="000775B7"/>
    <w:rsid w:val="000831B1"/>
    <w:rsid w:val="00083678"/>
    <w:rsid w:val="0008387D"/>
    <w:rsid w:val="00083EC5"/>
    <w:rsid w:val="0008502F"/>
    <w:rsid w:val="0008698A"/>
    <w:rsid w:val="000927F9"/>
    <w:rsid w:val="000933A7"/>
    <w:rsid w:val="00094C2B"/>
    <w:rsid w:val="0009555E"/>
    <w:rsid w:val="0009611C"/>
    <w:rsid w:val="000A17A4"/>
    <w:rsid w:val="000A5D3F"/>
    <w:rsid w:val="000B1B21"/>
    <w:rsid w:val="000B1EB2"/>
    <w:rsid w:val="000C0D53"/>
    <w:rsid w:val="000C3284"/>
    <w:rsid w:val="000C7BC7"/>
    <w:rsid w:val="000D2FAA"/>
    <w:rsid w:val="000E0ADC"/>
    <w:rsid w:val="000E35D2"/>
    <w:rsid w:val="000E59E9"/>
    <w:rsid w:val="000F0355"/>
    <w:rsid w:val="000F0401"/>
    <w:rsid w:val="000F35AE"/>
    <w:rsid w:val="000F3E43"/>
    <w:rsid w:val="001009B3"/>
    <w:rsid w:val="00103996"/>
    <w:rsid w:val="00105A7F"/>
    <w:rsid w:val="00107CCE"/>
    <w:rsid w:val="00107DDE"/>
    <w:rsid w:val="00107FD0"/>
    <w:rsid w:val="00110BEA"/>
    <w:rsid w:val="001130D1"/>
    <w:rsid w:val="00117362"/>
    <w:rsid w:val="00123BE1"/>
    <w:rsid w:val="00126A93"/>
    <w:rsid w:val="00127583"/>
    <w:rsid w:val="00130405"/>
    <w:rsid w:val="001310E8"/>
    <w:rsid w:val="001336CB"/>
    <w:rsid w:val="00133F10"/>
    <w:rsid w:val="0013445F"/>
    <w:rsid w:val="001367E5"/>
    <w:rsid w:val="00137265"/>
    <w:rsid w:val="001448C3"/>
    <w:rsid w:val="00145666"/>
    <w:rsid w:val="0014650F"/>
    <w:rsid w:val="00147D60"/>
    <w:rsid w:val="00150226"/>
    <w:rsid w:val="00151106"/>
    <w:rsid w:val="00157561"/>
    <w:rsid w:val="00162EB4"/>
    <w:rsid w:val="0016479D"/>
    <w:rsid w:val="00165116"/>
    <w:rsid w:val="00174053"/>
    <w:rsid w:val="00175E11"/>
    <w:rsid w:val="00176574"/>
    <w:rsid w:val="00176FF5"/>
    <w:rsid w:val="00180798"/>
    <w:rsid w:val="00181165"/>
    <w:rsid w:val="001814BC"/>
    <w:rsid w:val="00183548"/>
    <w:rsid w:val="00186AF5"/>
    <w:rsid w:val="00190058"/>
    <w:rsid w:val="001917B7"/>
    <w:rsid w:val="00192CB7"/>
    <w:rsid w:val="00197928"/>
    <w:rsid w:val="00197A20"/>
    <w:rsid w:val="001A0816"/>
    <w:rsid w:val="001A4429"/>
    <w:rsid w:val="001A7623"/>
    <w:rsid w:val="001B0664"/>
    <w:rsid w:val="001B0987"/>
    <w:rsid w:val="001B6A68"/>
    <w:rsid w:val="001C1A43"/>
    <w:rsid w:val="001C3AB2"/>
    <w:rsid w:val="001C46E7"/>
    <w:rsid w:val="001D0588"/>
    <w:rsid w:val="001D0AE4"/>
    <w:rsid w:val="001D1A8F"/>
    <w:rsid w:val="001E24C8"/>
    <w:rsid w:val="001E61B5"/>
    <w:rsid w:val="001F4ACB"/>
    <w:rsid w:val="001F5281"/>
    <w:rsid w:val="001F5D52"/>
    <w:rsid w:val="00201606"/>
    <w:rsid w:val="0020430D"/>
    <w:rsid w:val="00214870"/>
    <w:rsid w:val="002148A0"/>
    <w:rsid w:val="002233F1"/>
    <w:rsid w:val="00224876"/>
    <w:rsid w:val="00224BFE"/>
    <w:rsid w:val="00225FFF"/>
    <w:rsid w:val="00227F19"/>
    <w:rsid w:val="00236B40"/>
    <w:rsid w:val="00236E76"/>
    <w:rsid w:val="00243AB4"/>
    <w:rsid w:val="002471CD"/>
    <w:rsid w:val="002578ED"/>
    <w:rsid w:val="0026066C"/>
    <w:rsid w:val="00262537"/>
    <w:rsid w:val="00262F76"/>
    <w:rsid w:val="00265DE3"/>
    <w:rsid w:val="00273158"/>
    <w:rsid w:val="002816E0"/>
    <w:rsid w:val="0028253F"/>
    <w:rsid w:val="00284DCD"/>
    <w:rsid w:val="002941C0"/>
    <w:rsid w:val="002945D9"/>
    <w:rsid w:val="00296A1D"/>
    <w:rsid w:val="002A364F"/>
    <w:rsid w:val="002B1490"/>
    <w:rsid w:val="002B6621"/>
    <w:rsid w:val="002B6778"/>
    <w:rsid w:val="002B7209"/>
    <w:rsid w:val="002C3BAC"/>
    <w:rsid w:val="002C5669"/>
    <w:rsid w:val="002D32F0"/>
    <w:rsid w:val="002D5112"/>
    <w:rsid w:val="002E055F"/>
    <w:rsid w:val="002E0A57"/>
    <w:rsid w:val="002E1CC4"/>
    <w:rsid w:val="002E3D77"/>
    <w:rsid w:val="002E50B9"/>
    <w:rsid w:val="002E534F"/>
    <w:rsid w:val="002E5ADF"/>
    <w:rsid w:val="002F2EFB"/>
    <w:rsid w:val="002F7D46"/>
    <w:rsid w:val="00301BB4"/>
    <w:rsid w:val="00306D7D"/>
    <w:rsid w:val="00310076"/>
    <w:rsid w:val="0031287E"/>
    <w:rsid w:val="00313D0D"/>
    <w:rsid w:val="00316A73"/>
    <w:rsid w:val="0032196C"/>
    <w:rsid w:val="00322587"/>
    <w:rsid w:val="00327A5F"/>
    <w:rsid w:val="003323D2"/>
    <w:rsid w:val="003327E3"/>
    <w:rsid w:val="00333FB0"/>
    <w:rsid w:val="003356C5"/>
    <w:rsid w:val="00335A65"/>
    <w:rsid w:val="00342513"/>
    <w:rsid w:val="003439D5"/>
    <w:rsid w:val="00344435"/>
    <w:rsid w:val="0034458C"/>
    <w:rsid w:val="00344E85"/>
    <w:rsid w:val="00345556"/>
    <w:rsid w:val="003500C0"/>
    <w:rsid w:val="003507F2"/>
    <w:rsid w:val="0035097C"/>
    <w:rsid w:val="00353585"/>
    <w:rsid w:val="003571C7"/>
    <w:rsid w:val="00362606"/>
    <w:rsid w:val="00365A7F"/>
    <w:rsid w:val="00375CF1"/>
    <w:rsid w:val="00391B24"/>
    <w:rsid w:val="003920B4"/>
    <w:rsid w:val="003929A6"/>
    <w:rsid w:val="00393A8C"/>
    <w:rsid w:val="003957EE"/>
    <w:rsid w:val="003A2CEA"/>
    <w:rsid w:val="003B0908"/>
    <w:rsid w:val="003B195A"/>
    <w:rsid w:val="003B39BE"/>
    <w:rsid w:val="003B3A4A"/>
    <w:rsid w:val="003C25B5"/>
    <w:rsid w:val="003C3507"/>
    <w:rsid w:val="003C3686"/>
    <w:rsid w:val="003C6E00"/>
    <w:rsid w:val="003C73F4"/>
    <w:rsid w:val="003D04BD"/>
    <w:rsid w:val="003D4A96"/>
    <w:rsid w:val="003D5972"/>
    <w:rsid w:val="003D5FE0"/>
    <w:rsid w:val="003D6631"/>
    <w:rsid w:val="003D79D3"/>
    <w:rsid w:val="003E39E5"/>
    <w:rsid w:val="003E5C8C"/>
    <w:rsid w:val="003E76E6"/>
    <w:rsid w:val="003F08DF"/>
    <w:rsid w:val="003F3575"/>
    <w:rsid w:val="003F47EE"/>
    <w:rsid w:val="003F5F56"/>
    <w:rsid w:val="00413E71"/>
    <w:rsid w:val="00416121"/>
    <w:rsid w:val="00421ED1"/>
    <w:rsid w:val="0042583A"/>
    <w:rsid w:val="00433967"/>
    <w:rsid w:val="00433B4E"/>
    <w:rsid w:val="00436EB2"/>
    <w:rsid w:val="00436ED9"/>
    <w:rsid w:val="00440D47"/>
    <w:rsid w:val="00441B43"/>
    <w:rsid w:val="00441F96"/>
    <w:rsid w:val="00445BD3"/>
    <w:rsid w:val="00446C0A"/>
    <w:rsid w:val="00446FFB"/>
    <w:rsid w:val="00447B6B"/>
    <w:rsid w:val="00454740"/>
    <w:rsid w:val="00454F45"/>
    <w:rsid w:val="0045779D"/>
    <w:rsid w:val="00457C89"/>
    <w:rsid w:val="00461C74"/>
    <w:rsid w:val="004634A2"/>
    <w:rsid w:val="00464200"/>
    <w:rsid w:val="00464E54"/>
    <w:rsid w:val="0046536A"/>
    <w:rsid w:val="00465F08"/>
    <w:rsid w:val="00466FE1"/>
    <w:rsid w:val="00471CDB"/>
    <w:rsid w:val="0047442A"/>
    <w:rsid w:val="004757F2"/>
    <w:rsid w:val="004764D2"/>
    <w:rsid w:val="00477458"/>
    <w:rsid w:val="00485A82"/>
    <w:rsid w:val="0048789C"/>
    <w:rsid w:val="004A4EAD"/>
    <w:rsid w:val="004B11EA"/>
    <w:rsid w:val="004B14A4"/>
    <w:rsid w:val="004B5B12"/>
    <w:rsid w:val="004C0AF5"/>
    <w:rsid w:val="004C4F5C"/>
    <w:rsid w:val="004E72FA"/>
    <w:rsid w:val="004F19AE"/>
    <w:rsid w:val="004F6789"/>
    <w:rsid w:val="005033F5"/>
    <w:rsid w:val="00513272"/>
    <w:rsid w:val="0051661B"/>
    <w:rsid w:val="00516990"/>
    <w:rsid w:val="0052021E"/>
    <w:rsid w:val="005251AD"/>
    <w:rsid w:val="005263AC"/>
    <w:rsid w:val="0052799C"/>
    <w:rsid w:val="00527C70"/>
    <w:rsid w:val="00533AAD"/>
    <w:rsid w:val="00536369"/>
    <w:rsid w:val="00540625"/>
    <w:rsid w:val="005406D1"/>
    <w:rsid w:val="00541C30"/>
    <w:rsid w:val="00543735"/>
    <w:rsid w:val="00546214"/>
    <w:rsid w:val="00550111"/>
    <w:rsid w:val="00550F7B"/>
    <w:rsid w:val="0055663B"/>
    <w:rsid w:val="005578B2"/>
    <w:rsid w:val="00557D51"/>
    <w:rsid w:val="005603F7"/>
    <w:rsid w:val="0056430E"/>
    <w:rsid w:val="005658C9"/>
    <w:rsid w:val="0056725B"/>
    <w:rsid w:val="00575D13"/>
    <w:rsid w:val="00576646"/>
    <w:rsid w:val="00576943"/>
    <w:rsid w:val="005776F4"/>
    <w:rsid w:val="00580041"/>
    <w:rsid w:val="00594419"/>
    <w:rsid w:val="005A1027"/>
    <w:rsid w:val="005A26BB"/>
    <w:rsid w:val="005B314E"/>
    <w:rsid w:val="005B3265"/>
    <w:rsid w:val="005B493E"/>
    <w:rsid w:val="005B4DA2"/>
    <w:rsid w:val="005B5ADC"/>
    <w:rsid w:val="005C176C"/>
    <w:rsid w:val="005C6489"/>
    <w:rsid w:val="005C6EC0"/>
    <w:rsid w:val="005D048E"/>
    <w:rsid w:val="005D252E"/>
    <w:rsid w:val="005D3A37"/>
    <w:rsid w:val="005D5A29"/>
    <w:rsid w:val="005D75E9"/>
    <w:rsid w:val="005E329B"/>
    <w:rsid w:val="005E4B9C"/>
    <w:rsid w:val="005E4FBD"/>
    <w:rsid w:val="005E604B"/>
    <w:rsid w:val="005F1417"/>
    <w:rsid w:val="005F2A33"/>
    <w:rsid w:val="005F5D85"/>
    <w:rsid w:val="0060084B"/>
    <w:rsid w:val="00600905"/>
    <w:rsid w:val="00600DE0"/>
    <w:rsid w:val="00603322"/>
    <w:rsid w:val="00603D05"/>
    <w:rsid w:val="0060552B"/>
    <w:rsid w:val="00606775"/>
    <w:rsid w:val="00606D7D"/>
    <w:rsid w:val="00611E08"/>
    <w:rsid w:val="00612695"/>
    <w:rsid w:val="006163B1"/>
    <w:rsid w:val="00616B17"/>
    <w:rsid w:val="00620349"/>
    <w:rsid w:val="00620516"/>
    <w:rsid w:val="00621858"/>
    <w:rsid w:val="00623D27"/>
    <w:rsid w:val="0063169E"/>
    <w:rsid w:val="00637029"/>
    <w:rsid w:val="00643364"/>
    <w:rsid w:val="00643A8C"/>
    <w:rsid w:val="00645577"/>
    <w:rsid w:val="00647215"/>
    <w:rsid w:val="0065124F"/>
    <w:rsid w:val="0065422E"/>
    <w:rsid w:val="006549FE"/>
    <w:rsid w:val="006574E3"/>
    <w:rsid w:val="0066376B"/>
    <w:rsid w:val="00663DD0"/>
    <w:rsid w:val="006739B3"/>
    <w:rsid w:val="006744AB"/>
    <w:rsid w:val="006832E2"/>
    <w:rsid w:val="00683DD5"/>
    <w:rsid w:val="006919C7"/>
    <w:rsid w:val="00693007"/>
    <w:rsid w:val="00694AD0"/>
    <w:rsid w:val="00695006"/>
    <w:rsid w:val="00697DBC"/>
    <w:rsid w:val="006A5B96"/>
    <w:rsid w:val="006A5FF7"/>
    <w:rsid w:val="006A7876"/>
    <w:rsid w:val="006B139C"/>
    <w:rsid w:val="006C14DA"/>
    <w:rsid w:val="006C4981"/>
    <w:rsid w:val="006C6C4C"/>
    <w:rsid w:val="006D1F09"/>
    <w:rsid w:val="006D3728"/>
    <w:rsid w:val="006D434E"/>
    <w:rsid w:val="006D5557"/>
    <w:rsid w:val="006E271B"/>
    <w:rsid w:val="006E7783"/>
    <w:rsid w:val="006E7B20"/>
    <w:rsid w:val="006F3152"/>
    <w:rsid w:val="006F45FA"/>
    <w:rsid w:val="006F4739"/>
    <w:rsid w:val="006F79D4"/>
    <w:rsid w:val="00704013"/>
    <w:rsid w:val="00705142"/>
    <w:rsid w:val="00705398"/>
    <w:rsid w:val="00711260"/>
    <w:rsid w:val="00712B3D"/>
    <w:rsid w:val="00713065"/>
    <w:rsid w:val="00715E12"/>
    <w:rsid w:val="00716499"/>
    <w:rsid w:val="007174C3"/>
    <w:rsid w:val="00723EB8"/>
    <w:rsid w:val="00725ED8"/>
    <w:rsid w:val="00727EDB"/>
    <w:rsid w:val="007318FA"/>
    <w:rsid w:val="007319B7"/>
    <w:rsid w:val="007325BB"/>
    <w:rsid w:val="007342CC"/>
    <w:rsid w:val="007401D5"/>
    <w:rsid w:val="007433F7"/>
    <w:rsid w:val="0074453A"/>
    <w:rsid w:val="00752B56"/>
    <w:rsid w:val="00752EDB"/>
    <w:rsid w:val="00754591"/>
    <w:rsid w:val="007573EB"/>
    <w:rsid w:val="007577EC"/>
    <w:rsid w:val="00757BFC"/>
    <w:rsid w:val="00760AAB"/>
    <w:rsid w:val="00765D0E"/>
    <w:rsid w:val="00767C91"/>
    <w:rsid w:val="007703AC"/>
    <w:rsid w:val="00770875"/>
    <w:rsid w:val="00773E99"/>
    <w:rsid w:val="00776431"/>
    <w:rsid w:val="0078013C"/>
    <w:rsid w:val="00786BAA"/>
    <w:rsid w:val="0079246D"/>
    <w:rsid w:val="00792538"/>
    <w:rsid w:val="00793160"/>
    <w:rsid w:val="00795EA7"/>
    <w:rsid w:val="007960F7"/>
    <w:rsid w:val="007A005A"/>
    <w:rsid w:val="007A0FCE"/>
    <w:rsid w:val="007B4F2E"/>
    <w:rsid w:val="007B52D0"/>
    <w:rsid w:val="007B6277"/>
    <w:rsid w:val="007B6CBB"/>
    <w:rsid w:val="007C4ED6"/>
    <w:rsid w:val="007C65F1"/>
    <w:rsid w:val="007D0BBB"/>
    <w:rsid w:val="007D4EF8"/>
    <w:rsid w:val="007D7032"/>
    <w:rsid w:val="007D7B54"/>
    <w:rsid w:val="007D7F9F"/>
    <w:rsid w:val="007E6A17"/>
    <w:rsid w:val="007F3875"/>
    <w:rsid w:val="007F46A8"/>
    <w:rsid w:val="00800E02"/>
    <w:rsid w:val="00804B89"/>
    <w:rsid w:val="00810C05"/>
    <w:rsid w:val="0082257B"/>
    <w:rsid w:val="008249F3"/>
    <w:rsid w:val="008263B3"/>
    <w:rsid w:val="0082697B"/>
    <w:rsid w:val="008315C4"/>
    <w:rsid w:val="00832405"/>
    <w:rsid w:val="00833692"/>
    <w:rsid w:val="00835DEB"/>
    <w:rsid w:val="00837756"/>
    <w:rsid w:val="00837ED2"/>
    <w:rsid w:val="0084017B"/>
    <w:rsid w:val="00840572"/>
    <w:rsid w:val="00843397"/>
    <w:rsid w:val="008442CB"/>
    <w:rsid w:val="008446F1"/>
    <w:rsid w:val="00846332"/>
    <w:rsid w:val="00860E20"/>
    <w:rsid w:val="00860E62"/>
    <w:rsid w:val="00862991"/>
    <w:rsid w:val="00864A7F"/>
    <w:rsid w:val="0086537F"/>
    <w:rsid w:val="00870F66"/>
    <w:rsid w:val="008715BC"/>
    <w:rsid w:val="0087586E"/>
    <w:rsid w:val="008805C9"/>
    <w:rsid w:val="00885009"/>
    <w:rsid w:val="00890948"/>
    <w:rsid w:val="00890EBE"/>
    <w:rsid w:val="00891203"/>
    <w:rsid w:val="008942D4"/>
    <w:rsid w:val="00896589"/>
    <w:rsid w:val="008A0361"/>
    <w:rsid w:val="008A2114"/>
    <w:rsid w:val="008A6622"/>
    <w:rsid w:val="008B0172"/>
    <w:rsid w:val="008B79D9"/>
    <w:rsid w:val="008C6174"/>
    <w:rsid w:val="008D3F7D"/>
    <w:rsid w:val="008D3F80"/>
    <w:rsid w:val="008D6300"/>
    <w:rsid w:val="008E19E7"/>
    <w:rsid w:val="008E370F"/>
    <w:rsid w:val="008E7F35"/>
    <w:rsid w:val="008F1303"/>
    <w:rsid w:val="008F3DF0"/>
    <w:rsid w:val="008F3ED4"/>
    <w:rsid w:val="00903997"/>
    <w:rsid w:val="00905E84"/>
    <w:rsid w:val="00906C33"/>
    <w:rsid w:val="0091091A"/>
    <w:rsid w:val="0091194C"/>
    <w:rsid w:val="00913DDA"/>
    <w:rsid w:val="00916BF0"/>
    <w:rsid w:val="00920185"/>
    <w:rsid w:val="00920F9C"/>
    <w:rsid w:val="009276B3"/>
    <w:rsid w:val="009357FF"/>
    <w:rsid w:val="0093616F"/>
    <w:rsid w:val="00937037"/>
    <w:rsid w:val="00940AFA"/>
    <w:rsid w:val="00943F44"/>
    <w:rsid w:val="00950828"/>
    <w:rsid w:val="00953694"/>
    <w:rsid w:val="00956EB3"/>
    <w:rsid w:val="00960175"/>
    <w:rsid w:val="009608AA"/>
    <w:rsid w:val="0096461D"/>
    <w:rsid w:val="00970117"/>
    <w:rsid w:val="009711C2"/>
    <w:rsid w:val="00971593"/>
    <w:rsid w:val="0097190B"/>
    <w:rsid w:val="00973CAE"/>
    <w:rsid w:val="00977740"/>
    <w:rsid w:val="00981D96"/>
    <w:rsid w:val="00985D6F"/>
    <w:rsid w:val="009868C6"/>
    <w:rsid w:val="00987892"/>
    <w:rsid w:val="0099230E"/>
    <w:rsid w:val="009956A0"/>
    <w:rsid w:val="009A06D4"/>
    <w:rsid w:val="009A072A"/>
    <w:rsid w:val="009A1229"/>
    <w:rsid w:val="009A244A"/>
    <w:rsid w:val="009A44BD"/>
    <w:rsid w:val="009A6D3E"/>
    <w:rsid w:val="009B05A4"/>
    <w:rsid w:val="009B073B"/>
    <w:rsid w:val="009B290D"/>
    <w:rsid w:val="009B3309"/>
    <w:rsid w:val="009B459B"/>
    <w:rsid w:val="009B4C4F"/>
    <w:rsid w:val="009B5F19"/>
    <w:rsid w:val="009C6466"/>
    <w:rsid w:val="009D0BCE"/>
    <w:rsid w:val="009E1A91"/>
    <w:rsid w:val="009E7EBE"/>
    <w:rsid w:val="009F2A51"/>
    <w:rsid w:val="009F540A"/>
    <w:rsid w:val="00A02B9F"/>
    <w:rsid w:val="00A03D8C"/>
    <w:rsid w:val="00A14DB9"/>
    <w:rsid w:val="00A17424"/>
    <w:rsid w:val="00A17739"/>
    <w:rsid w:val="00A25853"/>
    <w:rsid w:val="00A318BD"/>
    <w:rsid w:val="00A4318B"/>
    <w:rsid w:val="00A44A90"/>
    <w:rsid w:val="00A50618"/>
    <w:rsid w:val="00A53235"/>
    <w:rsid w:val="00A53309"/>
    <w:rsid w:val="00A548A5"/>
    <w:rsid w:val="00A5547F"/>
    <w:rsid w:val="00A56E29"/>
    <w:rsid w:val="00A612D0"/>
    <w:rsid w:val="00A6382B"/>
    <w:rsid w:val="00A65354"/>
    <w:rsid w:val="00A71236"/>
    <w:rsid w:val="00A73705"/>
    <w:rsid w:val="00A76B1A"/>
    <w:rsid w:val="00A76E75"/>
    <w:rsid w:val="00A81A85"/>
    <w:rsid w:val="00A84EC1"/>
    <w:rsid w:val="00A86D93"/>
    <w:rsid w:val="00A9039E"/>
    <w:rsid w:val="00A946AF"/>
    <w:rsid w:val="00A967E5"/>
    <w:rsid w:val="00AA50AD"/>
    <w:rsid w:val="00AA65BB"/>
    <w:rsid w:val="00AB2128"/>
    <w:rsid w:val="00AB5828"/>
    <w:rsid w:val="00AC0847"/>
    <w:rsid w:val="00AE1089"/>
    <w:rsid w:val="00AF44BA"/>
    <w:rsid w:val="00AF4778"/>
    <w:rsid w:val="00AF71AA"/>
    <w:rsid w:val="00AF72E0"/>
    <w:rsid w:val="00B0285B"/>
    <w:rsid w:val="00B03313"/>
    <w:rsid w:val="00B144EF"/>
    <w:rsid w:val="00B16838"/>
    <w:rsid w:val="00B20A8C"/>
    <w:rsid w:val="00B22E8A"/>
    <w:rsid w:val="00B22FEA"/>
    <w:rsid w:val="00B24034"/>
    <w:rsid w:val="00B24F0C"/>
    <w:rsid w:val="00B35A50"/>
    <w:rsid w:val="00B371F1"/>
    <w:rsid w:val="00B41E2F"/>
    <w:rsid w:val="00B47FEB"/>
    <w:rsid w:val="00B575C4"/>
    <w:rsid w:val="00B607C8"/>
    <w:rsid w:val="00B6267A"/>
    <w:rsid w:val="00B6439C"/>
    <w:rsid w:val="00B66853"/>
    <w:rsid w:val="00B6751E"/>
    <w:rsid w:val="00B70CD0"/>
    <w:rsid w:val="00B73477"/>
    <w:rsid w:val="00B75C2C"/>
    <w:rsid w:val="00B80FBB"/>
    <w:rsid w:val="00B827D5"/>
    <w:rsid w:val="00B82E8E"/>
    <w:rsid w:val="00B83AB8"/>
    <w:rsid w:val="00B860B2"/>
    <w:rsid w:val="00B93E61"/>
    <w:rsid w:val="00B966F5"/>
    <w:rsid w:val="00BA03C7"/>
    <w:rsid w:val="00BA27B2"/>
    <w:rsid w:val="00BA3282"/>
    <w:rsid w:val="00BA38CE"/>
    <w:rsid w:val="00BA5295"/>
    <w:rsid w:val="00BB050C"/>
    <w:rsid w:val="00BB13A8"/>
    <w:rsid w:val="00BB1414"/>
    <w:rsid w:val="00BB560F"/>
    <w:rsid w:val="00BC043D"/>
    <w:rsid w:val="00BC055E"/>
    <w:rsid w:val="00BC2EA5"/>
    <w:rsid w:val="00BC4C35"/>
    <w:rsid w:val="00BC78D6"/>
    <w:rsid w:val="00BD1195"/>
    <w:rsid w:val="00BD16A9"/>
    <w:rsid w:val="00BD2409"/>
    <w:rsid w:val="00BD67F7"/>
    <w:rsid w:val="00BD7248"/>
    <w:rsid w:val="00BE0D7F"/>
    <w:rsid w:val="00BE2FDF"/>
    <w:rsid w:val="00BE4411"/>
    <w:rsid w:val="00BE7C72"/>
    <w:rsid w:val="00BF00CA"/>
    <w:rsid w:val="00BF1A12"/>
    <w:rsid w:val="00BF279B"/>
    <w:rsid w:val="00BF3D8E"/>
    <w:rsid w:val="00BF4958"/>
    <w:rsid w:val="00BF5912"/>
    <w:rsid w:val="00C01A6C"/>
    <w:rsid w:val="00C01E67"/>
    <w:rsid w:val="00C0218A"/>
    <w:rsid w:val="00C02372"/>
    <w:rsid w:val="00C05FC5"/>
    <w:rsid w:val="00C10AF8"/>
    <w:rsid w:val="00C11D14"/>
    <w:rsid w:val="00C20392"/>
    <w:rsid w:val="00C239F0"/>
    <w:rsid w:val="00C23C0D"/>
    <w:rsid w:val="00C27FEF"/>
    <w:rsid w:val="00C303CF"/>
    <w:rsid w:val="00C32D8D"/>
    <w:rsid w:val="00C3365A"/>
    <w:rsid w:val="00C34202"/>
    <w:rsid w:val="00C405F7"/>
    <w:rsid w:val="00C41700"/>
    <w:rsid w:val="00C42E3B"/>
    <w:rsid w:val="00C44138"/>
    <w:rsid w:val="00C5008F"/>
    <w:rsid w:val="00C525B1"/>
    <w:rsid w:val="00C55565"/>
    <w:rsid w:val="00C668D7"/>
    <w:rsid w:val="00C6765B"/>
    <w:rsid w:val="00C70F58"/>
    <w:rsid w:val="00C7251C"/>
    <w:rsid w:val="00C7424C"/>
    <w:rsid w:val="00C7444C"/>
    <w:rsid w:val="00C77CA7"/>
    <w:rsid w:val="00C8057C"/>
    <w:rsid w:val="00C8342E"/>
    <w:rsid w:val="00C8343F"/>
    <w:rsid w:val="00C840E7"/>
    <w:rsid w:val="00C862CC"/>
    <w:rsid w:val="00C90AD3"/>
    <w:rsid w:val="00C90CE6"/>
    <w:rsid w:val="00C9190A"/>
    <w:rsid w:val="00C91BE1"/>
    <w:rsid w:val="00CA18A1"/>
    <w:rsid w:val="00CA215A"/>
    <w:rsid w:val="00CA218A"/>
    <w:rsid w:val="00CA3CAE"/>
    <w:rsid w:val="00CA4693"/>
    <w:rsid w:val="00CA56CA"/>
    <w:rsid w:val="00CA706E"/>
    <w:rsid w:val="00CA7485"/>
    <w:rsid w:val="00CB13C8"/>
    <w:rsid w:val="00CB2828"/>
    <w:rsid w:val="00CB28CB"/>
    <w:rsid w:val="00CC0E83"/>
    <w:rsid w:val="00CC21A2"/>
    <w:rsid w:val="00CC654F"/>
    <w:rsid w:val="00CD21ED"/>
    <w:rsid w:val="00CD5814"/>
    <w:rsid w:val="00CD77B6"/>
    <w:rsid w:val="00CE5A7D"/>
    <w:rsid w:val="00CE5C49"/>
    <w:rsid w:val="00CE77C7"/>
    <w:rsid w:val="00CF2792"/>
    <w:rsid w:val="00CF432A"/>
    <w:rsid w:val="00CF4840"/>
    <w:rsid w:val="00CF7134"/>
    <w:rsid w:val="00CF77F2"/>
    <w:rsid w:val="00D07678"/>
    <w:rsid w:val="00D07D48"/>
    <w:rsid w:val="00D10787"/>
    <w:rsid w:val="00D111AC"/>
    <w:rsid w:val="00D122FD"/>
    <w:rsid w:val="00D17C8C"/>
    <w:rsid w:val="00D26143"/>
    <w:rsid w:val="00D2765F"/>
    <w:rsid w:val="00D278E7"/>
    <w:rsid w:val="00D34F59"/>
    <w:rsid w:val="00D35BD2"/>
    <w:rsid w:val="00D36CD2"/>
    <w:rsid w:val="00D43FFA"/>
    <w:rsid w:val="00D5057C"/>
    <w:rsid w:val="00D539B2"/>
    <w:rsid w:val="00D54FEF"/>
    <w:rsid w:val="00D60C6E"/>
    <w:rsid w:val="00D724CF"/>
    <w:rsid w:val="00D7360F"/>
    <w:rsid w:val="00D742EA"/>
    <w:rsid w:val="00D7455E"/>
    <w:rsid w:val="00D760CC"/>
    <w:rsid w:val="00D76423"/>
    <w:rsid w:val="00D77CE6"/>
    <w:rsid w:val="00D813F5"/>
    <w:rsid w:val="00D81AA5"/>
    <w:rsid w:val="00D865C0"/>
    <w:rsid w:val="00D900C9"/>
    <w:rsid w:val="00D90380"/>
    <w:rsid w:val="00D91584"/>
    <w:rsid w:val="00D95710"/>
    <w:rsid w:val="00D96EA8"/>
    <w:rsid w:val="00DA021C"/>
    <w:rsid w:val="00DA0C0C"/>
    <w:rsid w:val="00DA269C"/>
    <w:rsid w:val="00DA6753"/>
    <w:rsid w:val="00DB0283"/>
    <w:rsid w:val="00DB2F24"/>
    <w:rsid w:val="00DB5960"/>
    <w:rsid w:val="00DB5A8D"/>
    <w:rsid w:val="00DC2B07"/>
    <w:rsid w:val="00DC2E89"/>
    <w:rsid w:val="00DC3988"/>
    <w:rsid w:val="00DC5EE4"/>
    <w:rsid w:val="00DC67E6"/>
    <w:rsid w:val="00DC701D"/>
    <w:rsid w:val="00DC7E26"/>
    <w:rsid w:val="00DD5149"/>
    <w:rsid w:val="00DD55DE"/>
    <w:rsid w:val="00DE05AD"/>
    <w:rsid w:val="00DE0CE7"/>
    <w:rsid w:val="00DE29DD"/>
    <w:rsid w:val="00DE42DC"/>
    <w:rsid w:val="00DE548D"/>
    <w:rsid w:val="00DE675F"/>
    <w:rsid w:val="00DF357C"/>
    <w:rsid w:val="00DF3808"/>
    <w:rsid w:val="00DF4DF8"/>
    <w:rsid w:val="00E00022"/>
    <w:rsid w:val="00E00BBB"/>
    <w:rsid w:val="00E014E0"/>
    <w:rsid w:val="00E04C89"/>
    <w:rsid w:val="00E12327"/>
    <w:rsid w:val="00E13C4C"/>
    <w:rsid w:val="00E16B35"/>
    <w:rsid w:val="00E2036F"/>
    <w:rsid w:val="00E224A8"/>
    <w:rsid w:val="00E224D3"/>
    <w:rsid w:val="00E25FDD"/>
    <w:rsid w:val="00E26F34"/>
    <w:rsid w:val="00E33121"/>
    <w:rsid w:val="00E35CBB"/>
    <w:rsid w:val="00E377C1"/>
    <w:rsid w:val="00E44D6C"/>
    <w:rsid w:val="00E46A92"/>
    <w:rsid w:val="00E515A5"/>
    <w:rsid w:val="00E52A03"/>
    <w:rsid w:val="00E53CF9"/>
    <w:rsid w:val="00E54CCB"/>
    <w:rsid w:val="00E61167"/>
    <w:rsid w:val="00E6357F"/>
    <w:rsid w:val="00E65E60"/>
    <w:rsid w:val="00E66C57"/>
    <w:rsid w:val="00E70A0B"/>
    <w:rsid w:val="00E80172"/>
    <w:rsid w:val="00E80BA5"/>
    <w:rsid w:val="00E83848"/>
    <w:rsid w:val="00E85935"/>
    <w:rsid w:val="00E859FD"/>
    <w:rsid w:val="00E86268"/>
    <w:rsid w:val="00E873D0"/>
    <w:rsid w:val="00E918EB"/>
    <w:rsid w:val="00E920E7"/>
    <w:rsid w:val="00E95582"/>
    <w:rsid w:val="00E97392"/>
    <w:rsid w:val="00E976AB"/>
    <w:rsid w:val="00EA12F4"/>
    <w:rsid w:val="00EA32A6"/>
    <w:rsid w:val="00EA58F2"/>
    <w:rsid w:val="00EB3830"/>
    <w:rsid w:val="00EB65EF"/>
    <w:rsid w:val="00EB7F70"/>
    <w:rsid w:val="00EC0C82"/>
    <w:rsid w:val="00EC25E2"/>
    <w:rsid w:val="00EC2E36"/>
    <w:rsid w:val="00EC3D11"/>
    <w:rsid w:val="00ED312A"/>
    <w:rsid w:val="00ED36F7"/>
    <w:rsid w:val="00ED7CEA"/>
    <w:rsid w:val="00EE0A0C"/>
    <w:rsid w:val="00EE4B50"/>
    <w:rsid w:val="00EE4F0A"/>
    <w:rsid w:val="00EE52F9"/>
    <w:rsid w:val="00EF4314"/>
    <w:rsid w:val="00EF7679"/>
    <w:rsid w:val="00F01366"/>
    <w:rsid w:val="00F06D29"/>
    <w:rsid w:val="00F07A31"/>
    <w:rsid w:val="00F10CFE"/>
    <w:rsid w:val="00F11F38"/>
    <w:rsid w:val="00F13BAC"/>
    <w:rsid w:val="00F17DF5"/>
    <w:rsid w:val="00F2075F"/>
    <w:rsid w:val="00F23C98"/>
    <w:rsid w:val="00F26FA7"/>
    <w:rsid w:val="00F3669F"/>
    <w:rsid w:val="00F434F3"/>
    <w:rsid w:val="00F44BB3"/>
    <w:rsid w:val="00F4633C"/>
    <w:rsid w:val="00F46A20"/>
    <w:rsid w:val="00F507F6"/>
    <w:rsid w:val="00F540FF"/>
    <w:rsid w:val="00F5750A"/>
    <w:rsid w:val="00F632E9"/>
    <w:rsid w:val="00F63EAD"/>
    <w:rsid w:val="00F66455"/>
    <w:rsid w:val="00F72C23"/>
    <w:rsid w:val="00F748D5"/>
    <w:rsid w:val="00F82081"/>
    <w:rsid w:val="00F83760"/>
    <w:rsid w:val="00F87D3A"/>
    <w:rsid w:val="00F959F9"/>
    <w:rsid w:val="00F95FE2"/>
    <w:rsid w:val="00F96C5C"/>
    <w:rsid w:val="00FA07D9"/>
    <w:rsid w:val="00FA693C"/>
    <w:rsid w:val="00FB0E45"/>
    <w:rsid w:val="00FB1D91"/>
    <w:rsid w:val="00FB63EF"/>
    <w:rsid w:val="00FC11A9"/>
    <w:rsid w:val="00FC5E75"/>
    <w:rsid w:val="00FD015B"/>
    <w:rsid w:val="00FD27AE"/>
    <w:rsid w:val="00FD3C5B"/>
    <w:rsid w:val="00FE0CC8"/>
    <w:rsid w:val="00FF011E"/>
    <w:rsid w:val="00FF34A3"/>
    <w:rsid w:val="00FF4ED6"/>
    <w:rsid w:val="00FF56F9"/>
    <w:rsid w:val="00FF5DC2"/>
    <w:rsid w:val="00FF691E"/>
    <w:rsid w:val="00FF772D"/>
    <w:rsid w:val="05DC7EC0"/>
    <w:rsid w:val="06D41274"/>
    <w:rsid w:val="0B952C7C"/>
    <w:rsid w:val="0DDC1166"/>
    <w:rsid w:val="0E9A2F51"/>
    <w:rsid w:val="16550CCC"/>
    <w:rsid w:val="168C6C45"/>
    <w:rsid w:val="191B2B82"/>
    <w:rsid w:val="199967C9"/>
    <w:rsid w:val="1AF3564A"/>
    <w:rsid w:val="1B9D015A"/>
    <w:rsid w:val="1DCE1C2B"/>
    <w:rsid w:val="1FED2D04"/>
    <w:rsid w:val="209C4898"/>
    <w:rsid w:val="20A7248B"/>
    <w:rsid w:val="20ED1E16"/>
    <w:rsid w:val="214E7DF5"/>
    <w:rsid w:val="22103FF0"/>
    <w:rsid w:val="234F523C"/>
    <w:rsid w:val="29F90503"/>
    <w:rsid w:val="2C112CA0"/>
    <w:rsid w:val="2E684AEF"/>
    <w:rsid w:val="33302EC0"/>
    <w:rsid w:val="333D2DEB"/>
    <w:rsid w:val="335D425C"/>
    <w:rsid w:val="3683396F"/>
    <w:rsid w:val="388D1949"/>
    <w:rsid w:val="3F4C78CB"/>
    <w:rsid w:val="454F3C01"/>
    <w:rsid w:val="4A0A579C"/>
    <w:rsid w:val="4DDA4153"/>
    <w:rsid w:val="4DED6513"/>
    <w:rsid w:val="4EBF4D73"/>
    <w:rsid w:val="51485278"/>
    <w:rsid w:val="5155600C"/>
    <w:rsid w:val="5472289D"/>
    <w:rsid w:val="56C10F6A"/>
    <w:rsid w:val="58D34C31"/>
    <w:rsid w:val="5B12430D"/>
    <w:rsid w:val="60517457"/>
    <w:rsid w:val="609A6861"/>
    <w:rsid w:val="6253702C"/>
    <w:rsid w:val="65D06ECE"/>
    <w:rsid w:val="66361AB8"/>
    <w:rsid w:val="665060F6"/>
    <w:rsid w:val="66CA41D2"/>
    <w:rsid w:val="66D97830"/>
    <w:rsid w:val="68B47CE3"/>
    <w:rsid w:val="6BC74E48"/>
    <w:rsid w:val="6E743BA1"/>
    <w:rsid w:val="6F8831D1"/>
    <w:rsid w:val="70354A5F"/>
    <w:rsid w:val="75D20CBD"/>
    <w:rsid w:val="75F957C4"/>
    <w:rsid w:val="767772C5"/>
    <w:rsid w:val="7747515C"/>
    <w:rsid w:val="788B2334"/>
    <w:rsid w:val="7C3E2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0" w:name="Normal Indent"/>
    <w:lsdException w:uiPriority="0" w:name="footnote text"/>
    <w:lsdException w:qFormat="1" w:uiPriority="0" w:name="annotation text"/>
    <w:lsdException w:qFormat="1" w:unhideWhenUsed="0" w:uiPriority="99" w:semiHidden="0" w:name="header"/>
    <w:lsdException w:qFormat="1"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iPriority="0" w:name="Salutation"/>
    <w:lsdException w:uiPriority="0" w:name="Date"/>
    <w:lsdException w:qFormat="1" w:unhideWhenUsed="0" w:uiPriority="0" w:semiHidden="0" w:name="Body Text First Indent"/>
    <w:lsdException w:uiPriority="0" w:name="Body Text First Indent 2"/>
    <w:lsdException w:qFormat="1" w:unhideWhenUsed="0" w:uiPriority="0" w:semiHidden="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iPriority="99" w:semiHidden="0" w:name="Hyperlink"/>
    <w:lsdException w:qFormat="1" w:uiPriority="0" w:name="FollowedHyperlink"/>
    <w:lsdException w:qFormat="1" w:unhideWhenUsed="0" w:uiPriority="22" w:semiHidden="0" w:name="Strong"/>
    <w:lsdException w:unhideWhenUsed="0" w:uiPriority="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qFormat="1" w:uiPriority="99"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Lines="50"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67"/>
    <w:qFormat/>
    <w:uiPriority w:val="9"/>
    <w:pPr>
      <w:keepNext/>
      <w:keepLines/>
      <w:numPr>
        <w:ilvl w:val="0"/>
        <w:numId w:val="1"/>
      </w:numPr>
      <w:spacing w:before="240" w:after="156" w:line="578" w:lineRule="auto"/>
      <w:outlineLvl w:val="0"/>
    </w:pPr>
    <w:rPr>
      <w:rFonts w:ascii="Arial" w:hAnsi="Arial" w:eastAsia="黑体"/>
      <w:b/>
      <w:bCs/>
      <w:kern w:val="44"/>
      <w:sz w:val="36"/>
      <w:szCs w:val="44"/>
    </w:rPr>
  </w:style>
  <w:style w:type="paragraph" w:styleId="3">
    <w:name w:val="heading 2"/>
    <w:basedOn w:val="1"/>
    <w:next w:val="1"/>
    <w:link w:val="68"/>
    <w:qFormat/>
    <w:uiPriority w:val="9"/>
    <w:pPr>
      <w:keepNext/>
      <w:keepLines/>
      <w:numPr>
        <w:ilvl w:val="1"/>
        <w:numId w:val="1"/>
      </w:numPr>
      <w:spacing w:before="240" w:after="156" w:line="415" w:lineRule="auto"/>
      <w:outlineLvl w:val="1"/>
    </w:pPr>
    <w:rPr>
      <w:rFonts w:ascii="Arial" w:hAnsi="Arial" w:eastAsia="黑体"/>
      <w:b/>
      <w:bCs/>
      <w:sz w:val="32"/>
      <w:szCs w:val="32"/>
    </w:rPr>
  </w:style>
  <w:style w:type="paragraph" w:styleId="4">
    <w:name w:val="heading 3"/>
    <w:basedOn w:val="1"/>
    <w:next w:val="1"/>
    <w:link w:val="54"/>
    <w:qFormat/>
    <w:uiPriority w:val="9"/>
    <w:pPr>
      <w:keepNext/>
      <w:keepLines/>
      <w:numPr>
        <w:ilvl w:val="2"/>
        <w:numId w:val="1"/>
      </w:numPr>
      <w:spacing w:before="240" w:after="50" w:line="415" w:lineRule="auto"/>
      <w:ind w:right="100" w:rightChars="100"/>
      <w:jc w:val="left"/>
      <w:outlineLvl w:val="2"/>
    </w:pPr>
    <w:rPr>
      <w:rFonts w:ascii="Arial" w:hAnsi="Arial" w:eastAsia="黑体"/>
      <w:b/>
      <w:bCs/>
      <w:sz w:val="30"/>
      <w:szCs w:val="32"/>
    </w:rPr>
  </w:style>
  <w:style w:type="paragraph" w:styleId="5">
    <w:name w:val="heading 4"/>
    <w:basedOn w:val="1"/>
    <w:next w:val="1"/>
    <w:link w:val="70"/>
    <w:qFormat/>
    <w:uiPriority w:val="9"/>
    <w:pPr>
      <w:keepNext/>
      <w:keepLines/>
      <w:numPr>
        <w:ilvl w:val="3"/>
        <w:numId w:val="1"/>
      </w:numPr>
      <w:spacing w:before="240" w:after="156" w:line="377" w:lineRule="auto"/>
      <w:outlineLvl w:val="3"/>
    </w:pPr>
    <w:rPr>
      <w:rFonts w:ascii="Arial" w:hAnsi="Arial" w:eastAsia="黑体"/>
      <w:b/>
      <w:bCs/>
      <w:sz w:val="28"/>
      <w:szCs w:val="28"/>
    </w:rPr>
  </w:style>
  <w:style w:type="paragraph" w:styleId="6">
    <w:name w:val="heading 5"/>
    <w:basedOn w:val="1"/>
    <w:next w:val="1"/>
    <w:link w:val="71"/>
    <w:qFormat/>
    <w:uiPriority w:val="9"/>
    <w:pPr>
      <w:keepNext/>
      <w:keepLines/>
      <w:numPr>
        <w:ilvl w:val="4"/>
        <w:numId w:val="1"/>
      </w:numPr>
      <w:spacing w:before="240" w:after="156" w:line="377" w:lineRule="auto"/>
      <w:outlineLvl w:val="4"/>
    </w:pPr>
    <w:rPr>
      <w:rFonts w:ascii="Arial" w:hAnsi="Arial" w:eastAsia="黑体"/>
      <w:b/>
      <w:bCs/>
      <w:sz w:val="28"/>
      <w:szCs w:val="28"/>
    </w:rPr>
  </w:style>
  <w:style w:type="paragraph" w:styleId="7">
    <w:name w:val="heading 6"/>
    <w:basedOn w:val="1"/>
    <w:next w:val="1"/>
    <w:link w:val="72"/>
    <w:qFormat/>
    <w:uiPriority w:val="9"/>
    <w:pPr>
      <w:keepNext/>
      <w:keepLines/>
      <w:numPr>
        <w:ilvl w:val="5"/>
        <w:numId w:val="1"/>
      </w:numPr>
      <w:spacing w:before="240" w:after="156" w:line="320" w:lineRule="auto"/>
      <w:outlineLvl w:val="5"/>
    </w:pPr>
    <w:rPr>
      <w:rFonts w:ascii="Arial" w:hAnsi="Arial" w:eastAsia="黑体"/>
      <w:b/>
      <w:bCs/>
      <w:sz w:val="28"/>
    </w:rPr>
  </w:style>
  <w:style w:type="paragraph" w:styleId="8">
    <w:name w:val="heading 7"/>
    <w:basedOn w:val="1"/>
    <w:next w:val="1"/>
    <w:link w:val="73"/>
    <w:qFormat/>
    <w:uiPriority w:val="9"/>
    <w:pPr>
      <w:keepNext/>
      <w:keepLines/>
      <w:numPr>
        <w:ilvl w:val="6"/>
        <w:numId w:val="1"/>
      </w:numPr>
      <w:spacing w:before="240" w:after="156" w:line="320" w:lineRule="auto"/>
      <w:outlineLvl w:val="6"/>
    </w:pPr>
    <w:rPr>
      <w:rFonts w:ascii="Arial" w:hAnsi="Arial" w:eastAsia="黑体"/>
      <w:b/>
      <w:bCs/>
      <w:sz w:val="28"/>
    </w:rPr>
  </w:style>
  <w:style w:type="paragraph" w:styleId="9">
    <w:name w:val="heading 8"/>
    <w:basedOn w:val="1"/>
    <w:next w:val="1"/>
    <w:link w:val="74"/>
    <w:qFormat/>
    <w:uiPriority w:val="9"/>
    <w:pPr>
      <w:keepNext/>
      <w:keepLines/>
      <w:numPr>
        <w:ilvl w:val="7"/>
        <w:numId w:val="1"/>
      </w:numPr>
      <w:spacing w:before="240" w:after="156" w:line="320" w:lineRule="auto"/>
      <w:outlineLvl w:val="7"/>
    </w:pPr>
    <w:rPr>
      <w:rFonts w:ascii="Arial" w:hAnsi="Arial" w:eastAsia="黑体"/>
      <w:b/>
      <w:sz w:val="28"/>
    </w:rPr>
  </w:style>
  <w:style w:type="paragraph" w:styleId="10">
    <w:name w:val="heading 9"/>
    <w:basedOn w:val="1"/>
    <w:next w:val="1"/>
    <w:link w:val="56"/>
    <w:unhideWhenUsed/>
    <w:qFormat/>
    <w:uiPriority w:val="9"/>
    <w:pPr>
      <w:keepNext/>
      <w:keepLines/>
      <w:numPr>
        <w:ilvl w:val="8"/>
        <w:numId w:val="1"/>
      </w:numPr>
      <w:spacing w:before="240" w:after="64" w:line="320" w:lineRule="auto"/>
      <w:outlineLvl w:val="8"/>
    </w:pPr>
    <w:rPr>
      <w:rFonts w:ascii="等线 Light" w:hAnsi="等线 Light" w:eastAsia="等线 Light"/>
      <w:szCs w:val="21"/>
    </w:rPr>
  </w:style>
  <w:style w:type="character" w:default="1" w:styleId="33">
    <w:name w:val="Default Paragraph Font"/>
    <w:semiHidden/>
    <w:unhideWhenUsed/>
    <w:uiPriority w:val="1"/>
  </w:style>
  <w:style w:type="table" w:default="1" w:styleId="38">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115"/>
    <w:semiHidden/>
    <w:unhideWhenUsed/>
    <w:uiPriority w:val="0"/>
    <w:rPr>
      <w:b/>
      <w:bCs/>
    </w:rPr>
  </w:style>
  <w:style w:type="paragraph" w:styleId="12">
    <w:name w:val="annotation text"/>
    <w:basedOn w:val="1"/>
    <w:link w:val="114"/>
    <w:semiHidden/>
    <w:unhideWhenUsed/>
    <w:qFormat/>
    <w:uiPriority w:val="0"/>
    <w:pPr>
      <w:jc w:val="left"/>
    </w:pPr>
  </w:style>
  <w:style w:type="paragraph" w:styleId="13">
    <w:name w:val="toc 7"/>
    <w:basedOn w:val="1"/>
    <w:next w:val="1"/>
    <w:qFormat/>
    <w:uiPriority w:val="39"/>
    <w:pPr>
      <w:jc w:val="left"/>
    </w:pPr>
    <w:rPr>
      <w:rFonts w:ascii="Calibri" w:hAnsi="Calibri" w:cs="Calibri"/>
      <w:sz w:val="22"/>
      <w:szCs w:val="22"/>
    </w:rPr>
  </w:style>
  <w:style w:type="paragraph" w:styleId="14">
    <w:name w:val="Body Text First Indent"/>
    <w:basedOn w:val="1"/>
    <w:link w:val="63"/>
    <w:qFormat/>
    <w:uiPriority w:val="0"/>
    <w:pPr>
      <w:spacing w:before="120" w:afterLines="0"/>
      <w:ind w:firstLine="200" w:firstLineChars="200"/>
    </w:pPr>
    <w:rPr>
      <w:sz w:val="21"/>
    </w:rPr>
  </w:style>
  <w:style w:type="paragraph" w:styleId="15">
    <w:name w:val="Note Heading"/>
    <w:basedOn w:val="1"/>
    <w:next w:val="1"/>
    <w:link w:val="104"/>
    <w:qFormat/>
    <w:uiPriority w:val="0"/>
    <w:pPr>
      <w:spacing w:afterLines="0" w:line="240" w:lineRule="auto"/>
      <w:jc w:val="center"/>
    </w:pPr>
    <w:rPr>
      <w:sz w:val="21"/>
      <w:szCs w:val="20"/>
    </w:rPr>
  </w:style>
  <w:style w:type="paragraph" w:styleId="16">
    <w:name w:val="caption"/>
    <w:basedOn w:val="1"/>
    <w:next w:val="1"/>
    <w:unhideWhenUsed/>
    <w:qFormat/>
    <w:uiPriority w:val="0"/>
    <w:pPr>
      <w:spacing w:afterLines="0" w:line="300" w:lineRule="auto"/>
    </w:pPr>
    <w:rPr>
      <w:rFonts w:ascii="等线 Light" w:hAnsi="等线 Light" w:eastAsia="黑体"/>
      <w:sz w:val="20"/>
      <w:szCs w:val="20"/>
    </w:rPr>
  </w:style>
  <w:style w:type="paragraph" w:styleId="17">
    <w:name w:val="Document Map"/>
    <w:basedOn w:val="1"/>
    <w:semiHidden/>
    <w:qFormat/>
    <w:uiPriority w:val="0"/>
    <w:pPr>
      <w:shd w:val="clear" w:color="auto" w:fill="000080"/>
    </w:pPr>
  </w:style>
  <w:style w:type="paragraph" w:styleId="18">
    <w:name w:val="Body Text"/>
    <w:basedOn w:val="1"/>
    <w:link w:val="62"/>
    <w:qFormat/>
    <w:uiPriority w:val="0"/>
    <w:pPr>
      <w:spacing w:after="120"/>
    </w:pPr>
  </w:style>
  <w:style w:type="paragraph" w:styleId="19">
    <w:name w:val="toc 5"/>
    <w:basedOn w:val="1"/>
    <w:next w:val="1"/>
    <w:qFormat/>
    <w:uiPriority w:val="39"/>
    <w:pPr>
      <w:jc w:val="left"/>
    </w:pPr>
    <w:rPr>
      <w:rFonts w:ascii="Calibri" w:hAnsi="Calibri" w:cs="Calibri"/>
      <w:sz w:val="22"/>
      <w:szCs w:val="22"/>
    </w:rPr>
  </w:style>
  <w:style w:type="paragraph" w:styleId="20">
    <w:name w:val="toc 3"/>
    <w:basedOn w:val="1"/>
    <w:next w:val="1"/>
    <w:qFormat/>
    <w:uiPriority w:val="39"/>
    <w:pPr>
      <w:jc w:val="left"/>
    </w:pPr>
    <w:rPr>
      <w:rFonts w:ascii="Calibri" w:hAnsi="Calibri" w:cs="Calibri"/>
      <w:smallCaps/>
      <w:sz w:val="22"/>
      <w:szCs w:val="22"/>
    </w:rPr>
  </w:style>
  <w:style w:type="paragraph" w:styleId="21">
    <w:name w:val="toc 8"/>
    <w:basedOn w:val="1"/>
    <w:next w:val="1"/>
    <w:qFormat/>
    <w:uiPriority w:val="39"/>
    <w:pPr>
      <w:jc w:val="left"/>
    </w:pPr>
    <w:rPr>
      <w:rFonts w:ascii="Calibri" w:hAnsi="Calibri" w:cs="Calibri"/>
      <w:sz w:val="22"/>
      <w:szCs w:val="22"/>
    </w:rPr>
  </w:style>
  <w:style w:type="paragraph" w:styleId="22">
    <w:name w:val="Body Text Indent 2"/>
    <w:basedOn w:val="1"/>
    <w:link w:val="105"/>
    <w:qFormat/>
    <w:uiPriority w:val="0"/>
    <w:pPr>
      <w:spacing w:afterLines="0" w:line="480" w:lineRule="auto"/>
      <w:ind w:left="420" w:leftChars="200" w:firstLine="397"/>
      <w:jc w:val="left"/>
    </w:pPr>
    <w:rPr>
      <w:snapToGrid w:val="0"/>
      <w:kern w:val="0"/>
      <w:sz w:val="21"/>
      <w:szCs w:val="20"/>
      <w:lang w:eastAsia="en-US"/>
    </w:rPr>
  </w:style>
  <w:style w:type="paragraph" w:styleId="23">
    <w:name w:val="Balloon Text"/>
    <w:basedOn w:val="1"/>
    <w:link w:val="107"/>
    <w:qFormat/>
    <w:uiPriority w:val="0"/>
    <w:pPr>
      <w:spacing w:line="240" w:lineRule="auto"/>
    </w:pPr>
    <w:rPr>
      <w:sz w:val="18"/>
      <w:szCs w:val="18"/>
    </w:rPr>
  </w:style>
  <w:style w:type="paragraph" w:styleId="24">
    <w:name w:val="footer"/>
    <w:basedOn w:val="1"/>
    <w:link w:val="52"/>
    <w:qFormat/>
    <w:uiPriority w:val="99"/>
    <w:pPr>
      <w:tabs>
        <w:tab w:val="center" w:pos="4153"/>
        <w:tab w:val="right" w:pos="8306"/>
      </w:tabs>
      <w:snapToGrid w:val="0"/>
      <w:spacing w:line="240" w:lineRule="auto"/>
      <w:jc w:val="left"/>
    </w:pPr>
    <w:rPr>
      <w:sz w:val="18"/>
      <w:szCs w:val="18"/>
    </w:rPr>
  </w:style>
  <w:style w:type="paragraph" w:styleId="25">
    <w:name w:val="header"/>
    <w:basedOn w:val="1"/>
    <w:link w:val="51"/>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26">
    <w:name w:val="toc 1"/>
    <w:basedOn w:val="1"/>
    <w:next w:val="1"/>
    <w:qFormat/>
    <w:uiPriority w:val="39"/>
    <w:pPr>
      <w:tabs>
        <w:tab w:val="left" w:pos="377"/>
        <w:tab w:val="right" w:leader="dot" w:pos="8296"/>
      </w:tabs>
      <w:spacing w:before="360" w:after="156"/>
      <w:jc w:val="left"/>
    </w:pPr>
    <w:rPr>
      <w:rFonts w:ascii="Calibri" w:hAnsi="Calibri" w:cs="Calibri"/>
      <w:b/>
      <w:bCs/>
      <w:caps/>
      <w:sz w:val="22"/>
      <w:szCs w:val="22"/>
    </w:rPr>
  </w:style>
  <w:style w:type="paragraph" w:styleId="27">
    <w:name w:val="toc 4"/>
    <w:basedOn w:val="1"/>
    <w:next w:val="1"/>
    <w:qFormat/>
    <w:uiPriority w:val="39"/>
    <w:pPr>
      <w:jc w:val="left"/>
    </w:pPr>
    <w:rPr>
      <w:rFonts w:ascii="Calibri" w:hAnsi="Calibri" w:cs="Calibri"/>
      <w:sz w:val="22"/>
      <w:szCs w:val="22"/>
    </w:rPr>
  </w:style>
  <w:style w:type="paragraph" w:styleId="28">
    <w:name w:val="toc 6"/>
    <w:basedOn w:val="1"/>
    <w:next w:val="1"/>
    <w:qFormat/>
    <w:uiPriority w:val="39"/>
    <w:pPr>
      <w:jc w:val="left"/>
    </w:pPr>
    <w:rPr>
      <w:rFonts w:ascii="Calibri" w:hAnsi="Calibri" w:cs="Calibri"/>
      <w:sz w:val="22"/>
      <w:szCs w:val="22"/>
    </w:rPr>
  </w:style>
  <w:style w:type="paragraph" w:styleId="29">
    <w:name w:val="toc 2"/>
    <w:basedOn w:val="1"/>
    <w:next w:val="1"/>
    <w:qFormat/>
    <w:uiPriority w:val="39"/>
    <w:pPr>
      <w:jc w:val="left"/>
    </w:pPr>
    <w:rPr>
      <w:rFonts w:ascii="Calibri" w:hAnsi="Calibri" w:cs="Calibri"/>
      <w:b/>
      <w:bCs/>
      <w:smallCaps/>
      <w:sz w:val="22"/>
      <w:szCs w:val="22"/>
    </w:rPr>
  </w:style>
  <w:style w:type="paragraph" w:styleId="30">
    <w:name w:val="toc 9"/>
    <w:basedOn w:val="1"/>
    <w:next w:val="1"/>
    <w:qFormat/>
    <w:uiPriority w:val="39"/>
    <w:pPr>
      <w:jc w:val="left"/>
    </w:pPr>
    <w:rPr>
      <w:rFonts w:ascii="Calibri" w:hAnsi="Calibri" w:cs="Calibri"/>
      <w:sz w:val="22"/>
      <w:szCs w:val="22"/>
    </w:rPr>
  </w:style>
  <w:style w:type="paragraph" w:styleId="31">
    <w:name w:val="Normal (Web)"/>
    <w:basedOn w:val="1"/>
    <w:unhideWhenUsed/>
    <w:qFormat/>
    <w:uiPriority w:val="99"/>
    <w:pPr>
      <w:widowControl/>
      <w:spacing w:before="100" w:beforeAutospacing="1" w:afterLines="0" w:afterAutospacing="1" w:line="300" w:lineRule="auto"/>
      <w:jc w:val="left"/>
    </w:pPr>
    <w:rPr>
      <w:rFonts w:ascii="宋体" w:hAnsi="宋体" w:cs="宋体"/>
      <w:kern w:val="0"/>
    </w:rPr>
  </w:style>
  <w:style w:type="paragraph" w:styleId="32">
    <w:name w:val="Title"/>
    <w:basedOn w:val="2"/>
    <w:link w:val="106"/>
    <w:qFormat/>
    <w:uiPriority w:val="0"/>
    <w:pPr>
      <w:keepNext w:val="0"/>
      <w:keepLines w:val="0"/>
      <w:numPr>
        <w:numId w:val="0"/>
      </w:numPr>
      <w:pBdr>
        <w:bottom w:val="single" w:color="auto" w:sz="6" w:space="6"/>
      </w:pBdr>
      <w:tabs>
        <w:tab w:val="left" w:pos="432"/>
      </w:tabs>
      <w:spacing w:before="0" w:afterLines="0" w:line="360" w:lineRule="auto"/>
      <w:ind w:firstLine="288"/>
      <w:jc w:val="right"/>
    </w:pPr>
    <w:rPr>
      <w:rFonts w:hAnsi="宋体" w:eastAsia="宋体"/>
      <w:bCs w:val="0"/>
      <w:snapToGrid w:val="0"/>
      <w:kern w:val="0"/>
      <w:sz w:val="32"/>
      <w:szCs w:val="20"/>
    </w:rPr>
  </w:style>
  <w:style w:type="character" w:styleId="34">
    <w:name w:val="Strong"/>
    <w:qFormat/>
    <w:uiPriority w:val="22"/>
    <w:rPr>
      <w:b/>
      <w:bCs/>
      <w:iCs/>
      <w:em w:val="dot"/>
    </w:rPr>
  </w:style>
  <w:style w:type="character" w:styleId="35">
    <w:name w:val="FollowedHyperlink"/>
    <w:basedOn w:val="33"/>
    <w:semiHidden/>
    <w:unhideWhenUsed/>
    <w:qFormat/>
    <w:uiPriority w:val="0"/>
    <w:rPr>
      <w:color w:val="800080" w:themeColor="followedHyperlink"/>
      <w:u w:val="single"/>
      <w14:textFill>
        <w14:solidFill>
          <w14:schemeClr w14:val="folHlink"/>
        </w14:solidFill>
      </w14:textFill>
    </w:rPr>
  </w:style>
  <w:style w:type="character" w:styleId="36">
    <w:name w:val="Hyperlink"/>
    <w:unhideWhenUsed/>
    <w:qFormat/>
    <w:uiPriority w:val="99"/>
    <w:rPr>
      <w:color w:val="0000FF"/>
      <w:u w:val="single"/>
    </w:rPr>
  </w:style>
  <w:style w:type="character" w:styleId="37">
    <w:name w:val="annotation reference"/>
    <w:basedOn w:val="33"/>
    <w:semiHidden/>
    <w:unhideWhenUsed/>
    <w:uiPriority w:val="0"/>
    <w:rPr>
      <w:sz w:val="21"/>
      <w:szCs w:val="21"/>
    </w:rPr>
  </w:style>
  <w:style w:type="table" w:styleId="39">
    <w:name w:val="Table Grid"/>
    <w:basedOn w:val="38"/>
    <w:qFormat/>
    <w:uiPriority w:val="59"/>
    <w:pPr>
      <w:widowControl w:val="0"/>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40">
    <w:name w:val="Table Elegant"/>
    <w:basedOn w:val="38"/>
    <w:unhideWhenUsed/>
    <w:qFormat/>
    <w:uiPriority w:val="99"/>
    <w:pPr>
      <w:widowControl w:val="0"/>
      <w:spacing w:line="300" w:lineRule="auto"/>
      <w:jc w:val="both"/>
    </w:pPr>
    <w:rPr>
      <w:rFonts w:ascii="等线" w:hAnsi="等线" w:eastAsia="等线"/>
      <w:kern w:val="2"/>
      <w:sz w:val="21"/>
      <w:szCs w:val="22"/>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blPr>
        <w:tblLayout w:type="fixed"/>
      </w:tblPr>
      <w:tcPr>
        <w:tcBorders>
          <w:tl2br w:val="nil"/>
          <w:tr2bl w:val="nil"/>
        </w:tcBorders>
      </w:tcPr>
    </w:tblStylePr>
  </w:style>
  <w:style w:type="paragraph" w:customStyle="1" w:styleId="41">
    <w:name w:val="投标正文缩进"/>
    <w:basedOn w:val="1"/>
    <w:link w:val="50"/>
    <w:qFormat/>
    <w:uiPriority w:val="0"/>
    <w:pPr>
      <w:spacing w:before="120" w:afterLines="0" w:line="360" w:lineRule="exact"/>
      <w:ind w:firstLine="420"/>
    </w:pPr>
    <w:rPr>
      <w:rFonts w:cs="宋体"/>
      <w:szCs w:val="20"/>
    </w:rPr>
  </w:style>
  <w:style w:type="paragraph" w:customStyle="1" w:styleId="42">
    <w:name w:val="图编号"/>
    <w:basedOn w:val="1"/>
    <w:qFormat/>
    <w:uiPriority w:val="0"/>
    <w:pPr>
      <w:numPr>
        <w:ilvl w:val="0"/>
        <w:numId w:val="2"/>
      </w:numPr>
      <w:spacing w:after="156"/>
      <w:jc w:val="center"/>
    </w:pPr>
  </w:style>
  <w:style w:type="paragraph" w:customStyle="1" w:styleId="43">
    <w:name w:val="表编号"/>
    <w:basedOn w:val="1"/>
    <w:qFormat/>
    <w:uiPriority w:val="0"/>
    <w:pPr>
      <w:numPr>
        <w:ilvl w:val="0"/>
        <w:numId w:val="3"/>
      </w:numPr>
      <w:spacing w:after="156"/>
      <w:jc w:val="left"/>
    </w:pPr>
  </w:style>
  <w:style w:type="paragraph" w:customStyle="1" w:styleId="44">
    <w:name w:val="一般表头"/>
    <w:basedOn w:val="1"/>
    <w:qFormat/>
    <w:uiPriority w:val="0"/>
    <w:pPr>
      <w:spacing w:before="60" w:afterLines="0" w:line="240" w:lineRule="auto"/>
      <w:jc w:val="center"/>
    </w:pPr>
    <w:rPr>
      <w:rFonts w:cs="宋体"/>
      <w:b/>
      <w:bCs/>
      <w:szCs w:val="20"/>
    </w:rPr>
  </w:style>
  <w:style w:type="paragraph" w:customStyle="1" w:styleId="45">
    <w:name w:val="一般表格文字"/>
    <w:basedOn w:val="1"/>
    <w:qFormat/>
    <w:uiPriority w:val="0"/>
    <w:pPr>
      <w:spacing w:before="60" w:afterLines="0" w:line="240" w:lineRule="auto"/>
    </w:pPr>
  </w:style>
  <w:style w:type="paragraph" w:customStyle="1" w:styleId="46">
    <w:name w:val="招标原文"/>
    <w:basedOn w:val="1"/>
    <w:link w:val="49"/>
    <w:qFormat/>
    <w:uiPriority w:val="0"/>
    <w:pPr>
      <w:spacing w:after="156" w:line="360" w:lineRule="exact"/>
      <w:ind w:firstLine="420"/>
      <w:contextualSpacing/>
    </w:pPr>
    <w:rPr>
      <w:i/>
    </w:rPr>
  </w:style>
  <w:style w:type="paragraph" w:customStyle="1" w:styleId="47">
    <w:name w:val="原文应答"/>
    <w:basedOn w:val="1"/>
    <w:qFormat/>
    <w:uiPriority w:val="0"/>
    <w:pPr>
      <w:spacing w:before="120" w:after="156" w:line="360" w:lineRule="exact"/>
    </w:pPr>
    <w:rPr>
      <w:rFonts w:cs="宋体"/>
      <w:b/>
      <w:bCs/>
      <w:szCs w:val="20"/>
    </w:rPr>
  </w:style>
  <w:style w:type="paragraph" w:customStyle="1" w:styleId="48">
    <w:name w:val="投标正文"/>
    <w:basedOn w:val="1"/>
    <w:qFormat/>
    <w:uiPriority w:val="0"/>
    <w:pPr>
      <w:spacing w:before="120" w:afterLines="0" w:line="360" w:lineRule="exact"/>
    </w:pPr>
    <w:rPr>
      <w:rFonts w:cs="宋体"/>
      <w:szCs w:val="20"/>
    </w:rPr>
  </w:style>
  <w:style w:type="character" w:customStyle="1" w:styleId="49">
    <w:name w:val="招标原文 Char"/>
    <w:link w:val="46"/>
    <w:qFormat/>
    <w:uiPriority w:val="0"/>
    <w:rPr>
      <w:rFonts w:eastAsia="宋体"/>
      <w:i/>
      <w:kern w:val="2"/>
      <w:sz w:val="21"/>
      <w:szCs w:val="24"/>
      <w:lang w:val="en-US" w:eastAsia="zh-CN" w:bidi="ar-SA"/>
    </w:rPr>
  </w:style>
  <w:style w:type="character" w:customStyle="1" w:styleId="50">
    <w:name w:val="投标正文缩进 Char"/>
    <w:link w:val="41"/>
    <w:qFormat/>
    <w:uiPriority w:val="0"/>
    <w:rPr>
      <w:rFonts w:eastAsia="宋体" w:cs="宋体"/>
      <w:kern w:val="2"/>
      <w:sz w:val="21"/>
      <w:lang w:val="en-US" w:eastAsia="zh-CN" w:bidi="ar-SA"/>
    </w:rPr>
  </w:style>
  <w:style w:type="character" w:customStyle="1" w:styleId="51">
    <w:name w:val="页眉 字符1"/>
    <w:link w:val="25"/>
    <w:qFormat/>
    <w:uiPriority w:val="0"/>
    <w:rPr>
      <w:kern w:val="2"/>
      <w:sz w:val="18"/>
      <w:szCs w:val="18"/>
    </w:rPr>
  </w:style>
  <w:style w:type="character" w:customStyle="1" w:styleId="52">
    <w:name w:val="页脚 字符1"/>
    <w:link w:val="24"/>
    <w:qFormat/>
    <w:uiPriority w:val="99"/>
    <w:rPr>
      <w:kern w:val="2"/>
      <w:sz w:val="18"/>
      <w:szCs w:val="18"/>
    </w:rPr>
  </w:style>
  <w:style w:type="paragraph" w:styleId="53">
    <w:name w:val="List Paragraph"/>
    <w:basedOn w:val="1"/>
    <w:link w:val="102"/>
    <w:qFormat/>
    <w:uiPriority w:val="34"/>
    <w:pPr>
      <w:spacing w:afterLines="0" w:line="240" w:lineRule="auto"/>
      <w:ind w:firstLine="420" w:firstLineChars="200"/>
    </w:pPr>
    <w:rPr>
      <w:rFonts w:ascii="Calibri" w:hAnsi="Calibri"/>
      <w:szCs w:val="22"/>
    </w:rPr>
  </w:style>
  <w:style w:type="character" w:customStyle="1" w:styleId="54">
    <w:name w:val="标题 3 字符1"/>
    <w:link w:val="4"/>
    <w:qFormat/>
    <w:uiPriority w:val="9"/>
    <w:rPr>
      <w:rFonts w:ascii="Arial" w:hAnsi="Arial" w:eastAsia="黑体"/>
      <w:b/>
      <w:bCs/>
      <w:kern w:val="2"/>
      <w:sz w:val="30"/>
      <w:szCs w:val="32"/>
    </w:rPr>
  </w:style>
  <w:style w:type="character" w:customStyle="1" w:styleId="55">
    <w:name w:val="页脚 字符"/>
    <w:qFormat/>
    <w:uiPriority w:val="99"/>
  </w:style>
  <w:style w:type="character" w:customStyle="1" w:styleId="56">
    <w:name w:val="标题 9 字符"/>
    <w:link w:val="10"/>
    <w:qFormat/>
    <w:uiPriority w:val="9"/>
    <w:rPr>
      <w:rFonts w:ascii="等线 Light" w:hAnsi="等线 Light" w:eastAsia="等线 Light"/>
      <w:kern w:val="2"/>
      <w:sz w:val="24"/>
      <w:szCs w:val="21"/>
    </w:rPr>
  </w:style>
  <w:style w:type="paragraph" w:customStyle="1" w:styleId="57">
    <w:name w:val="HT_正文缩进"/>
    <w:basedOn w:val="1"/>
    <w:link w:val="58"/>
    <w:qFormat/>
    <w:uiPriority w:val="0"/>
    <w:pPr>
      <w:spacing w:beforeLines="50" w:afterLines="0" w:line="300" w:lineRule="auto"/>
      <w:ind w:firstLine="480"/>
      <w:jc w:val="left"/>
    </w:pPr>
    <w:rPr>
      <w:rFonts w:ascii="黑体" w:hAnsi="黑体"/>
      <w:szCs w:val="32"/>
    </w:rPr>
  </w:style>
  <w:style w:type="character" w:customStyle="1" w:styleId="58">
    <w:name w:val="HT_正文缩进 Char"/>
    <w:link w:val="57"/>
    <w:qFormat/>
    <w:uiPriority w:val="0"/>
    <w:rPr>
      <w:rFonts w:ascii="黑体" w:hAnsi="黑体"/>
      <w:kern w:val="2"/>
      <w:sz w:val="24"/>
      <w:szCs w:val="32"/>
    </w:rPr>
  </w:style>
  <w:style w:type="paragraph" w:customStyle="1" w:styleId="59">
    <w:name w:val="HT_表格栏目居中"/>
    <w:basedOn w:val="1"/>
    <w:qFormat/>
    <w:uiPriority w:val="0"/>
    <w:pPr>
      <w:spacing w:before="40" w:afterLines="0" w:line="300" w:lineRule="auto"/>
      <w:jc w:val="center"/>
    </w:pPr>
    <w:rPr>
      <w:rFonts w:ascii="Arial" w:hAnsi="Arial" w:eastAsia="黑体"/>
      <w:b/>
    </w:rPr>
  </w:style>
  <w:style w:type="paragraph" w:customStyle="1" w:styleId="60">
    <w:name w:val="HT_表格单元靠左"/>
    <w:basedOn w:val="1"/>
    <w:link w:val="61"/>
    <w:qFormat/>
    <w:uiPriority w:val="0"/>
    <w:pPr>
      <w:spacing w:before="40" w:afterLines="0" w:line="300" w:lineRule="auto"/>
    </w:pPr>
  </w:style>
  <w:style w:type="character" w:customStyle="1" w:styleId="61">
    <w:name w:val="HT_表格单元靠左 Char"/>
    <w:link w:val="60"/>
    <w:qFormat/>
    <w:uiPriority w:val="0"/>
    <w:rPr>
      <w:kern w:val="2"/>
      <w:sz w:val="24"/>
      <w:szCs w:val="24"/>
    </w:rPr>
  </w:style>
  <w:style w:type="character" w:customStyle="1" w:styleId="62">
    <w:name w:val="正文文本 字符"/>
    <w:link w:val="18"/>
    <w:qFormat/>
    <w:uiPriority w:val="0"/>
    <w:rPr>
      <w:kern w:val="2"/>
      <w:sz w:val="24"/>
      <w:szCs w:val="24"/>
    </w:rPr>
  </w:style>
  <w:style w:type="character" w:customStyle="1" w:styleId="63">
    <w:name w:val="正文首行缩进 字符"/>
    <w:link w:val="14"/>
    <w:qFormat/>
    <w:uiPriority w:val="0"/>
    <w:rPr>
      <w:kern w:val="2"/>
      <w:sz w:val="21"/>
      <w:szCs w:val="24"/>
    </w:rPr>
  </w:style>
  <w:style w:type="paragraph" w:customStyle="1" w:styleId="64">
    <w:name w:val="表格正文"/>
    <w:basedOn w:val="1"/>
    <w:link w:val="66"/>
    <w:qFormat/>
    <w:uiPriority w:val="0"/>
    <w:pPr>
      <w:spacing w:afterLines="0" w:line="240" w:lineRule="auto"/>
    </w:pPr>
    <w:rPr>
      <w:sz w:val="18"/>
    </w:rPr>
  </w:style>
  <w:style w:type="paragraph" w:customStyle="1" w:styleId="65">
    <w:name w:val="表格表头"/>
    <w:basedOn w:val="1"/>
    <w:qFormat/>
    <w:uiPriority w:val="0"/>
    <w:pPr>
      <w:spacing w:afterLines="0" w:line="240" w:lineRule="auto"/>
      <w:jc w:val="center"/>
    </w:pPr>
    <w:rPr>
      <w:rFonts w:cs="宋体"/>
      <w:b/>
      <w:bCs/>
      <w:sz w:val="18"/>
      <w:szCs w:val="20"/>
    </w:rPr>
  </w:style>
  <w:style w:type="character" w:customStyle="1" w:styleId="66">
    <w:name w:val="表格正文 Char"/>
    <w:link w:val="64"/>
    <w:qFormat/>
    <w:uiPriority w:val="0"/>
    <w:rPr>
      <w:kern w:val="2"/>
      <w:sz w:val="18"/>
      <w:szCs w:val="24"/>
    </w:rPr>
  </w:style>
  <w:style w:type="character" w:customStyle="1" w:styleId="67">
    <w:name w:val="标题 1 字符"/>
    <w:link w:val="2"/>
    <w:qFormat/>
    <w:uiPriority w:val="9"/>
    <w:rPr>
      <w:rFonts w:ascii="Arial" w:hAnsi="Arial" w:eastAsia="黑体"/>
      <w:b/>
      <w:bCs/>
      <w:kern w:val="44"/>
      <w:sz w:val="36"/>
      <w:szCs w:val="44"/>
    </w:rPr>
  </w:style>
  <w:style w:type="character" w:customStyle="1" w:styleId="68">
    <w:name w:val="标题 2 字符"/>
    <w:link w:val="3"/>
    <w:qFormat/>
    <w:uiPriority w:val="9"/>
    <w:rPr>
      <w:rFonts w:ascii="Arial" w:hAnsi="Arial" w:eastAsia="黑体"/>
      <w:b/>
      <w:bCs/>
      <w:kern w:val="2"/>
      <w:sz w:val="32"/>
      <w:szCs w:val="32"/>
    </w:rPr>
  </w:style>
  <w:style w:type="character" w:customStyle="1" w:styleId="69">
    <w:name w:val="标题 3 字符"/>
    <w:qFormat/>
    <w:uiPriority w:val="9"/>
    <w:rPr>
      <w:rFonts w:eastAsia="宋体"/>
      <w:b/>
      <w:bCs/>
      <w:sz w:val="32"/>
      <w:szCs w:val="32"/>
    </w:rPr>
  </w:style>
  <w:style w:type="character" w:customStyle="1" w:styleId="70">
    <w:name w:val="标题 4 字符"/>
    <w:link w:val="5"/>
    <w:qFormat/>
    <w:uiPriority w:val="9"/>
    <w:rPr>
      <w:rFonts w:ascii="Arial" w:hAnsi="Arial" w:eastAsia="黑体"/>
      <w:b/>
      <w:bCs/>
      <w:kern w:val="2"/>
      <w:sz w:val="28"/>
      <w:szCs w:val="28"/>
    </w:rPr>
  </w:style>
  <w:style w:type="character" w:customStyle="1" w:styleId="71">
    <w:name w:val="标题 5 字符"/>
    <w:link w:val="6"/>
    <w:qFormat/>
    <w:uiPriority w:val="9"/>
    <w:rPr>
      <w:rFonts w:ascii="Arial" w:hAnsi="Arial" w:eastAsia="黑体"/>
      <w:b/>
      <w:bCs/>
      <w:kern w:val="2"/>
      <w:sz w:val="28"/>
      <w:szCs w:val="28"/>
    </w:rPr>
  </w:style>
  <w:style w:type="character" w:customStyle="1" w:styleId="72">
    <w:name w:val="标题 6 字符"/>
    <w:link w:val="7"/>
    <w:qFormat/>
    <w:uiPriority w:val="9"/>
    <w:rPr>
      <w:rFonts w:ascii="Arial" w:hAnsi="Arial" w:eastAsia="黑体"/>
      <w:b/>
      <w:bCs/>
      <w:kern w:val="2"/>
      <w:sz w:val="28"/>
      <w:szCs w:val="24"/>
    </w:rPr>
  </w:style>
  <w:style w:type="character" w:customStyle="1" w:styleId="73">
    <w:name w:val="标题 7 字符"/>
    <w:link w:val="8"/>
    <w:qFormat/>
    <w:uiPriority w:val="9"/>
    <w:rPr>
      <w:rFonts w:ascii="Arial" w:hAnsi="Arial" w:eastAsia="黑体"/>
      <w:b/>
      <w:bCs/>
      <w:kern w:val="2"/>
      <w:sz w:val="28"/>
      <w:szCs w:val="24"/>
    </w:rPr>
  </w:style>
  <w:style w:type="character" w:customStyle="1" w:styleId="74">
    <w:name w:val="标题 8 字符"/>
    <w:link w:val="9"/>
    <w:qFormat/>
    <w:uiPriority w:val="9"/>
    <w:rPr>
      <w:rFonts w:ascii="Arial" w:hAnsi="Arial" w:eastAsia="黑体"/>
      <w:b/>
      <w:kern w:val="2"/>
      <w:sz w:val="28"/>
      <w:szCs w:val="24"/>
    </w:rPr>
  </w:style>
  <w:style w:type="character" w:customStyle="1" w:styleId="75">
    <w:name w:val="页眉 字符"/>
    <w:qFormat/>
    <w:uiPriority w:val="99"/>
    <w:rPr>
      <w:sz w:val="18"/>
      <w:szCs w:val="18"/>
    </w:rPr>
  </w:style>
  <w:style w:type="paragraph" w:styleId="76">
    <w:name w:val="No Spacing"/>
    <w:link w:val="77"/>
    <w:qFormat/>
    <w:uiPriority w:val="1"/>
    <w:rPr>
      <w:rFonts w:ascii="等线" w:hAnsi="等线" w:eastAsia="等线" w:cs="Times New Roman"/>
      <w:sz w:val="22"/>
      <w:szCs w:val="22"/>
      <w:lang w:val="en-US" w:eastAsia="zh-CN" w:bidi="ar-SA"/>
    </w:rPr>
  </w:style>
  <w:style w:type="character" w:customStyle="1" w:styleId="77">
    <w:name w:val="无间隔 字符"/>
    <w:link w:val="76"/>
    <w:qFormat/>
    <w:uiPriority w:val="1"/>
    <w:rPr>
      <w:rFonts w:ascii="等线" w:hAnsi="等线" w:eastAsia="等线"/>
      <w:sz w:val="22"/>
      <w:szCs w:val="22"/>
    </w:rPr>
  </w:style>
  <w:style w:type="paragraph" w:customStyle="1" w:styleId="78">
    <w:name w:val="TOC 标题1"/>
    <w:basedOn w:val="2"/>
    <w:next w:val="1"/>
    <w:unhideWhenUsed/>
    <w:qFormat/>
    <w:uiPriority w:val="39"/>
    <w:pPr>
      <w:widowControl/>
      <w:numPr>
        <w:numId w:val="0"/>
      </w:numPr>
      <w:spacing w:afterLines="0" w:line="259" w:lineRule="auto"/>
      <w:jc w:val="left"/>
      <w:outlineLvl w:val="9"/>
    </w:pPr>
    <w:rPr>
      <w:rFonts w:ascii="等线 Light" w:hAnsi="等线 Light" w:eastAsia="等线 Light"/>
      <w:b w:val="0"/>
      <w:bCs w:val="0"/>
      <w:color w:val="2F5496"/>
      <w:kern w:val="0"/>
      <w:sz w:val="32"/>
      <w:szCs w:val="32"/>
    </w:rPr>
  </w:style>
  <w:style w:type="paragraph" w:customStyle="1" w:styleId="79">
    <w:name w:val="HT_标题1"/>
    <w:basedOn w:val="1"/>
    <w:next w:val="57"/>
    <w:qFormat/>
    <w:uiPriority w:val="0"/>
    <w:pPr>
      <w:numPr>
        <w:ilvl w:val="0"/>
        <w:numId w:val="4"/>
      </w:numPr>
      <w:spacing w:beforeLines="50" w:afterLines="0" w:line="300" w:lineRule="auto"/>
      <w:jc w:val="center"/>
      <w:outlineLvl w:val="0"/>
    </w:pPr>
    <w:rPr>
      <w:rFonts w:ascii="Arial" w:hAnsi="Arial" w:eastAsia="黑体"/>
      <w:b/>
      <w:sz w:val="36"/>
    </w:rPr>
  </w:style>
  <w:style w:type="paragraph" w:customStyle="1" w:styleId="80">
    <w:name w:val="HT_标题2"/>
    <w:basedOn w:val="1"/>
    <w:next w:val="57"/>
    <w:qFormat/>
    <w:uiPriority w:val="0"/>
    <w:pPr>
      <w:numPr>
        <w:ilvl w:val="1"/>
        <w:numId w:val="4"/>
      </w:numPr>
      <w:spacing w:beforeLines="50" w:afterLines="0" w:line="300" w:lineRule="auto"/>
      <w:outlineLvl w:val="1"/>
    </w:pPr>
    <w:rPr>
      <w:rFonts w:ascii="Arial" w:hAnsi="Arial" w:eastAsia="黑体"/>
      <w:b/>
      <w:sz w:val="32"/>
    </w:rPr>
  </w:style>
  <w:style w:type="paragraph" w:customStyle="1" w:styleId="81">
    <w:name w:val="HT_标题3"/>
    <w:basedOn w:val="1"/>
    <w:next w:val="57"/>
    <w:qFormat/>
    <w:uiPriority w:val="0"/>
    <w:pPr>
      <w:numPr>
        <w:ilvl w:val="2"/>
        <w:numId w:val="4"/>
      </w:numPr>
      <w:spacing w:beforeLines="50" w:afterLines="0" w:line="300" w:lineRule="auto"/>
      <w:outlineLvl w:val="2"/>
    </w:pPr>
    <w:rPr>
      <w:rFonts w:ascii="Arial" w:hAnsi="Arial" w:eastAsia="黑体"/>
      <w:b/>
      <w:sz w:val="30"/>
    </w:rPr>
  </w:style>
  <w:style w:type="paragraph" w:customStyle="1" w:styleId="82">
    <w:name w:val="HT_标题4"/>
    <w:basedOn w:val="1"/>
    <w:next w:val="57"/>
    <w:qFormat/>
    <w:uiPriority w:val="0"/>
    <w:pPr>
      <w:numPr>
        <w:ilvl w:val="3"/>
        <w:numId w:val="4"/>
      </w:numPr>
      <w:spacing w:beforeLines="50" w:afterLines="0" w:line="300" w:lineRule="auto"/>
      <w:outlineLvl w:val="3"/>
    </w:pPr>
    <w:rPr>
      <w:rFonts w:ascii="Arial" w:hAnsi="Arial" w:eastAsia="黑体"/>
      <w:b/>
      <w:sz w:val="28"/>
    </w:rPr>
  </w:style>
  <w:style w:type="paragraph" w:customStyle="1" w:styleId="83">
    <w:name w:val="HT_标题5"/>
    <w:basedOn w:val="1"/>
    <w:next w:val="57"/>
    <w:link w:val="84"/>
    <w:qFormat/>
    <w:uiPriority w:val="0"/>
    <w:pPr>
      <w:numPr>
        <w:ilvl w:val="4"/>
        <w:numId w:val="4"/>
      </w:numPr>
      <w:spacing w:beforeLines="50" w:afterLines="0" w:line="300" w:lineRule="auto"/>
      <w:outlineLvl w:val="4"/>
    </w:pPr>
    <w:rPr>
      <w:rFonts w:ascii="Arial" w:hAnsi="Arial" w:eastAsia="黑体"/>
      <w:b/>
    </w:rPr>
  </w:style>
  <w:style w:type="character" w:customStyle="1" w:styleId="84">
    <w:name w:val="HT_标题5 Char"/>
    <w:link w:val="83"/>
    <w:qFormat/>
    <w:uiPriority w:val="0"/>
    <w:rPr>
      <w:rFonts w:ascii="Arial" w:hAnsi="Arial" w:eastAsia="黑体"/>
      <w:b/>
      <w:kern w:val="2"/>
      <w:sz w:val="24"/>
      <w:szCs w:val="24"/>
    </w:rPr>
  </w:style>
  <w:style w:type="paragraph" w:customStyle="1" w:styleId="85">
    <w:name w:val="HT_列表项目符号"/>
    <w:basedOn w:val="1"/>
    <w:next w:val="86"/>
    <w:link w:val="87"/>
    <w:qFormat/>
    <w:uiPriority w:val="0"/>
    <w:pPr>
      <w:numPr>
        <w:ilvl w:val="0"/>
        <w:numId w:val="5"/>
      </w:numPr>
      <w:spacing w:beforeLines="50" w:afterLines="0" w:line="300" w:lineRule="auto"/>
      <w:contextualSpacing/>
    </w:pPr>
  </w:style>
  <w:style w:type="paragraph" w:customStyle="1" w:styleId="86">
    <w:name w:val="HT_列表项目说明"/>
    <w:basedOn w:val="1"/>
    <w:qFormat/>
    <w:uiPriority w:val="0"/>
    <w:pPr>
      <w:spacing w:before="156" w:afterLines="0" w:line="300" w:lineRule="auto"/>
      <w:ind w:left="454"/>
    </w:pPr>
  </w:style>
  <w:style w:type="character" w:customStyle="1" w:styleId="87">
    <w:name w:val="HT_列表项目符号 Char"/>
    <w:link w:val="85"/>
    <w:qFormat/>
    <w:uiPriority w:val="0"/>
    <w:rPr>
      <w:kern w:val="2"/>
      <w:sz w:val="24"/>
      <w:szCs w:val="24"/>
    </w:rPr>
  </w:style>
  <w:style w:type="paragraph" w:customStyle="1" w:styleId="88">
    <w:name w:val="HT_标题6"/>
    <w:basedOn w:val="1"/>
    <w:next w:val="57"/>
    <w:qFormat/>
    <w:uiPriority w:val="0"/>
    <w:pPr>
      <w:numPr>
        <w:ilvl w:val="5"/>
        <w:numId w:val="4"/>
      </w:numPr>
      <w:spacing w:beforeLines="50" w:afterLines="0" w:line="300" w:lineRule="auto"/>
      <w:outlineLvl w:val="5"/>
    </w:pPr>
    <w:rPr>
      <w:rFonts w:ascii="Arial" w:hAnsi="Arial" w:eastAsia="黑体"/>
    </w:rPr>
  </w:style>
  <w:style w:type="paragraph" w:customStyle="1" w:styleId="89">
    <w:name w:val="HT_标题7"/>
    <w:basedOn w:val="1"/>
    <w:next w:val="57"/>
    <w:qFormat/>
    <w:uiPriority w:val="0"/>
    <w:pPr>
      <w:numPr>
        <w:ilvl w:val="6"/>
        <w:numId w:val="4"/>
      </w:numPr>
      <w:spacing w:beforeLines="50" w:afterLines="0" w:line="300" w:lineRule="auto"/>
    </w:pPr>
  </w:style>
  <w:style w:type="paragraph" w:customStyle="1" w:styleId="90">
    <w:name w:val="HT_题注"/>
    <w:basedOn w:val="1"/>
    <w:link w:val="91"/>
    <w:qFormat/>
    <w:uiPriority w:val="0"/>
    <w:pPr>
      <w:spacing w:beforeLines="50" w:afterLines="0" w:line="300" w:lineRule="auto"/>
      <w:jc w:val="center"/>
    </w:pPr>
    <w:rPr>
      <w:rFonts w:ascii="Arial" w:hAnsi="Arial" w:eastAsia="黑体"/>
      <w:b/>
    </w:rPr>
  </w:style>
  <w:style w:type="character" w:customStyle="1" w:styleId="91">
    <w:name w:val="HT_题注 Char"/>
    <w:link w:val="90"/>
    <w:qFormat/>
    <w:uiPriority w:val="0"/>
    <w:rPr>
      <w:rFonts w:ascii="Arial" w:hAnsi="Arial" w:eastAsia="黑体"/>
      <w:b/>
      <w:kern w:val="2"/>
      <w:sz w:val="24"/>
      <w:szCs w:val="24"/>
    </w:rPr>
  </w:style>
  <w:style w:type="paragraph" w:customStyle="1" w:styleId="92">
    <w:name w:val="HT_列表项目编号"/>
    <w:basedOn w:val="1"/>
    <w:next w:val="86"/>
    <w:qFormat/>
    <w:uiPriority w:val="0"/>
    <w:pPr>
      <w:tabs>
        <w:tab w:val="left" w:pos="693"/>
      </w:tabs>
      <w:spacing w:beforeLines="50" w:afterLines="0" w:line="300" w:lineRule="auto"/>
      <w:ind w:left="693" w:hanging="420"/>
      <w:contextualSpacing/>
    </w:pPr>
  </w:style>
  <w:style w:type="paragraph" w:customStyle="1" w:styleId="93">
    <w:name w:val="表格标题"/>
    <w:basedOn w:val="1"/>
    <w:qFormat/>
    <w:uiPriority w:val="0"/>
    <w:pPr>
      <w:spacing w:afterLines="0" w:line="300" w:lineRule="auto"/>
      <w:jc w:val="center"/>
    </w:pPr>
    <w:rPr>
      <w:rFonts w:ascii="Arial" w:hAnsi="Arial"/>
      <w:b/>
    </w:rPr>
  </w:style>
  <w:style w:type="paragraph" w:customStyle="1" w:styleId="94">
    <w:name w:val="标书正文"/>
    <w:basedOn w:val="1"/>
    <w:qFormat/>
    <w:uiPriority w:val="0"/>
    <w:pPr>
      <w:spacing w:beforeLines="50" w:after="156" w:line="276" w:lineRule="auto"/>
      <w:ind w:firstLine="480" w:firstLineChars="200"/>
    </w:pPr>
    <w:rPr>
      <w:rFonts w:ascii="Arial" w:hAnsi="Arial"/>
    </w:rPr>
  </w:style>
  <w:style w:type="paragraph" w:customStyle="1" w:styleId="95">
    <w:name w:val="项目符0"/>
    <w:basedOn w:val="1"/>
    <w:qFormat/>
    <w:uiPriority w:val="0"/>
    <w:pPr>
      <w:spacing w:beforeLines="50" w:after="156" w:line="276" w:lineRule="auto"/>
    </w:pPr>
    <w:rPr>
      <w:rFonts w:ascii="Arial" w:hAnsi="Arial"/>
    </w:rPr>
  </w:style>
  <w:style w:type="paragraph" w:customStyle="1" w:styleId="96">
    <w:name w:val="表格文字"/>
    <w:basedOn w:val="1"/>
    <w:link w:val="97"/>
    <w:qFormat/>
    <w:uiPriority w:val="0"/>
    <w:pPr>
      <w:spacing w:afterLines="0" w:line="240" w:lineRule="auto"/>
      <w:jc w:val="left"/>
    </w:pPr>
    <w:rPr>
      <w:rFonts w:ascii="Arial" w:hAnsi="Arial"/>
      <w:color w:val="000000"/>
      <w:sz w:val="21"/>
    </w:rPr>
  </w:style>
  <w:style w:type="character" w:customStyle="1" w:styleId="97">
    <w:name w:val="表格文字 Char"/>
    <w:link w:val="96"/>
    <w:qFormat/>
    <w:uiPriority w:val="0"/>
    <w:rPr>
      <w:rFonts w:ascii="Arial" w:hAnsi="Arial"/>
      <w:color w:val="000000"/>
      <w:kern w:val="2"/>
      <w:sz w:val="21"/>
      <w:szCs w:val="24"/>
    </w:rPr>
  </w:style>
  <w:style w:type="paragraph" w:customStyle="1" w:styleId="98">
    <w:name w:val="项目符1"/>
    <w:basedOn w:val="1"/>
    <w:qFormat/>
    <w:uiPriority w:val="0"/>
    <w:pPr>
      <w:spacing w:beforeLines="20" w:afterLines="20" w:line="276" w:lineRule="auto"/>
    </w:pPr>
    <w:rPr>
      <w:rFonts w:ascii="Arial" w:hAnsi="Arial"/>
    </w:rPr>
  </w:style>
  <w:style w:type="table" w:customStyle="1" w:styleId="99">
    <w:name w:val="标书表格"/>
    <w:basedOn w:val="40"/>
    <w:qFormat/>
    <w:uiPriority w:val="99"/>
    <w:tblPr>
      <w:jc w:val="center"/>
      <w:tblBorders>
        <w:top w:val="single" w:color="000000" w:sz="18" w:space="0"/>
        <w:left w:val="single" w:color="000000" w:sz="18" w:space="0"/>
        <w:bottom w:val="single" w:color="000000" w:sz="18" w:space="0"/>
        <w:right w:val="single" w:color="000000" w:sz="18" w:space="0"/>
      </w:tblBorders>
      <w:tblLayout w:type="fixed"/>
    </w:tblPr>
    <w:trPr>
      <w:tblHeader/>
      <w:jc w:val="center"/>
    </w:trPr>
    <w:tcPr>
      <w:shd w:val="clear" w:color="auto" w:fill="auto"/>
    </w:tcPr>
    <w:tblStylePr w:type="firstRow">
      <w:pPr>
        <w:jc w:val="center"/>
      </w:pPr>
      <w:rPr>
        <w:b/>
        <w:caps/>
        <w:color w:val="000000"/>
      </w:rPr>
      <w:tcPr>
        <w:tcBorders>
          <w:top w:val="single" w:color="000000" w:sz="12" w:space="0"/>
          <w:left w:val="single" w:color="000000" w:sz="12" w:space="0"/>
          <w:bottom w:val="single" w:color="000000" w:sz="12" w:space="0"/>
          <w:right w:val="single" w:color="000000" w:sz="12" w:space="0"/>
          <w:insideH w:val="single" w:sz="4" w:space="0"/>
          <w:insideV w:val="single" w:sz="4" w:space="0"/>
          <w:tl2br w:val="nil"/>
          <w:tr2bl w:val="nil"/>
        </w:tcBorders>
        <w:shd w:val="clear" w:color="auto" w:fill="auto"/>
      </w:tcPr>
    </w:tblStylePr>
    <w:tblStylePr w:type="firstCol">
      <w:pPr>
        <w:jc w:val="center"/>
      </w:pPr>
      <w:tcPr>
        <w:vAlign w:val="center"/>
      </w:tcPr>
    </w:tblStylePr>
  </w:style>
  <w:style w:type="paragraph" w:customStyle="1" w:styleId="100">
    <w:name w:val="数字列表1"/>
    <w:basedOn w:val="94"/>
    <w:qFormat/>
    <w:uiPriority w:val="0"/>
    <w:pPr>
      <w:numPr>
        <w:ilvl w:val="0"/>
        <w:numId w:val="6"/>
      </w:numPr>
      <w:tabs>
        <w:tab w:val="decimal" w:pos="709"/>
      </w:tabs>
      <w:ind w:firstLine="0" w:firstLineChars="0"/>
    </w:pPr>
  </w:style>
  <w:style w:type="character" w:customStyle="1" w:styleId="101">
    <w:name w:val="未处理的提及1"/>
    <w:semiHidden/>
    <w:unhideWhenUsed/>
    <w:qFormat/>
    <w:uiPriority w:val="99"/>
    <w:rPr>
      <w:color w:val="808080"/>
      <w:shd w:val="clear" w:color="auto" w:fill="E6E6E6"/>
    </w:rPr>
  </w:style>
  <w:style w:type="character" w:customStyle="1" w:styleId="102">
    <w:name w:val="列出段落 字符"/>
    <w:link w:val="53"/>
    <w:qFormat/>
    <w:locked/>
    <w:uiPriority w:val="34"/>
    <w:rPr>
      <w:rFonts w:ascii="Calibri" w:hAnsi="Calibri"/>
      <w:kern w:val="2"/>
      <w:sz w:val="24"/>
      <w:szCs w:val="22"/>
    </w:rPr>
  </w:style>
  <w:style w:type="character" w:customStyle="1" w:styleId="103">
    <w:name w:val="注释标题 字符"/>
    <w:qFormat/>
    <w:uiPriority w:val="0"/>
    <w:rPr>
      <w:kern w:val="2"/>
      <w:sz w:val="24"/>
      <w:szCs w:val="24"/>
    </w:rPr>
  </w:style>
  <w:style w:type="character" w:customStyle="1" w:styleId="104">
    <w:name w:val="注释标题 字符1"/>
    <w:link w:val="15"/>
    <w:qFormat/>
    <w:uiPriority w:val="0"/>
    <w:rPr>
      <w:kern w:val="2"/>
      <w:sz w:val="21"/>
    </w:rPr>
  </w:style>
  <w:style w:type="character" w:customStyle="1" w:styleId="105">
    <w:name w:val="正文文本缩进 2 字符"/>
    <w:link w:val="22"/>
    <w:qFormat/>
    <w:uiPriority w:val="0"/>
    <w:rPr>
      <w:snapToGrid/>
      <w:sz w:val="21"/>
      <w:lang w:eastAsia="en-US"/>
    </w:rPr>
  </w:style>
  <w:style w:type="character" w:customStyle="1" w:styleId="106">
    <w:name w:val="标题 字符"/>
    <w:link w:val="32"/>
    <w:qFormat/>
    <w:uiPriority w:val="0"/>
    <w:rPr>
      <w:rFonts w:ascii="Arial" w:hAnsi="宋体"/>
      <w:b/>
      <w:snapToGrid/>
      <w:sz w:val="32"/>
    </w:rPr>
  </w:style>
  <w:style w:type="character" w:customStyle="1" w:styleId="107">
    <w:name w:val="批注框文本 字符"/>
    <w:basedOn w:val="33"/>
    <w:link w:val="23"/>
    <w:qFormat/>
    <w:uiPriority w:val="0"/>
    <w:rPr>
      <w:kern w:val="2"/>
      <w:sz w:val="18"/>
      <w:szCs w:val="18"/>
    </w:rPr>
  </w:style>
  <w:style w:type="character" w:customStyle="1" w:styleId="108">
    <w:name w:val="列出段落 Char"/>
    <w:qFormat/>
    <w:locked/>
    <w:uiPriority w:val="34"/>
    <w:rPr>
      <w:rFonts w:ascii="Calibri" w:hAnsi="Calibri"/>
      <w:kern w:val="2"/>
      <w:sz w:val="24"/>
      <w:szCs w:val="22"/>
    </w:rPr>
  </w:style>
  <w:style w:type="character" w:customStyle="1" w:styleId="109">
    <w:name w:val="未处理的提及2"/>
    <w:basedOn w:val="33"/>
    <w:semiHidden/>
    <w:unhideWhenUsed/>
    <w:qFormat/>
    <w:uiPriority w:val="99"/>
    <w:rPr>
      <w:color w:val="808080"/>
      <w:shd w:val="clear" w:color="auto" w:fill="E6E6E6"/>
    </w:rPr>
  </w:style>
  <w:style w:type="character" w:customStyle="1" w:styleId="110">
    <w:name w:val="未处理的提及3"/>
    <w:basedOn w:val="33"/>
    <w:semiHidden/>
    <w:unhideWhenUsed/>
    <w:qFormat/>
    <w:uiPriority w:val="99"/>
    <w:rPr>
      <w:color w:val="808080"/>
      <w:shd w:val="clear" w:color="auto" w:fill="E6E6E6"/>
    </w:rPr>
  </w:style>
  <w:style w:type="character" w:customStyle="1" w:styleId="111">
    <w:name w:val="未处理的提及4"/>
    <w:basedOn w:val="33"/>
    <w:semiHidden/>
    <w:unhideWhenUsed/>
    <w:qFormat/>
    <w:uiPriority w:val="99"/>
    <w:rPr>
      <w:color w:val="808080"/>
      <w:shd w:val="clear" w:color="auto" w:fill="E6E6E6"/>
    </w:rPr>
  </w:style>
  <w:style w:type="paragraph" w:customStyle="1" w:styleId="112">
    <w:name w:val="F"/>
    <w:basedOn w:val="1"/>
    <w:link w:val="113"/>
    <w:qFormat/>
    <w:uiPriority w:val="0"/>
    <w:pPr>
      <w:spacing w:afterLines="0" w:line="400" w:lineRule="exact"/>
      <w:ind w:firstLine="200" w:firstLineChars="200"/>
    </w:pPr>
    <w:rPr>
      <w:rFonts w:asciiTheme="minorEastAsia" w:hAnsiTheme="minorEastAsia" w:eastAsiaTheme="minorEastAsia" w:cstheme="minorBidi"/>
    </w:rPr>
  </w:style>
  <w:style w:type="character" w:customStyle="1" w:styleId="113">
    <w:name w:val="F Char"/>
    <w:basedOn w:val="33"/>
    <w:link w:val="112"/>
    <w:qFormat/>
    <w:uiPriority w:val="0"/>
    <w:rPr>
      <w:rFonts w:asciiTheme="minorEastAsia" w:hAnsiTheme="minorEastAsia" w:eastAsiaTheme="minorEastAsia" w:cstheme="minorBidi"/>
      <w:kern w:val="2"/>
      <w:sz w:val="24"/>
      <w:szCs w:val="24"/>
    </w:rPr>
  </w:style>
  <w:style w:type="character" w:customStyle="1" w:styleId="114">
    <w:name w:val="批注文字 字符"/>
    <w:basedOn w:val="33"/>
    <w:link w:val="12"/>
    <w:semiHidden/>
    <w:uiPriority w:val="0"/>
    <w:rPr>
      <w:kern w:val="2"/>
      <w:sz w:val="24"/>
      <w:szCs w:val="24"/>
    </w:rPr>
  </w:style>
  <w:style w:type="character" w:customStyle="1" w:styleId="115">
    <w:name w:val="批注主题 字符"/>
    <w:basedOn w:val="114"/>
    <w:link w:val="11"/>
    <w:semiHidden/>
    <w:qFormat/>
    <w:uiPriority w:val="0"/>
    <w:rPr>
      <w:b/>
      <w:bCs/>
      <w:kern w:val="2"/>
      <w:sz w:val="24"/>
      <w:szCs w:val="24"/>
    </w:rPr>
  </w:style>
  <w:style w:type="paragraph" w:customStyle="1" w:styleId="116">
    <w:name w:val="样式1"/>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649C1-415B-4BF7-8FB9-946AC5AA72A1}">
  <ds:schemaRefs/>
</ds:datastoreItem>
</file>

<file path=docProps/app.xml><?xml version="1.0" encoding="utf-8"?>
<Properties xmlns="http://schemas.openxmlformats.org/officeDocument/2006/extended-properties" xmlns:vt="http://schemas.openxmlformats.org/officeDocument/2006/docPropsVTypes">
  <Template>Normal.dotm</Template>
  <Company>Timesnet</Company>
  <Pages>22</Pages>
  <Words>1658</Words>
  <Characters>9451</Characters>
  <Lines>78</Lines>
  <Paragraphs>22</Paragraphs>
  <TotalTime>0</TotalTime>
  <ScaleCrop>false</ScaleCrop>
  <LinksUpToDate>false</LinksUpToDate>
  <CharactersWithSpaces>11087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2017-09-21T14:09:00Z</dcterms:created>
  <dc:creator>user</dc:creator>
  <cp:lastModifiedBy>Randy</cp:lastModifiedBy>
  <cp:lastPrinted>2018-01-08T15:42:00Z</cp:lastPrinted>
  <dcterms:modified xsi:type="dcterms:W3CDTF">2018-03-14T11:57:43Z</dcterms:modified>
  <dc:title>1</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