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629" w:name="rocket-gh-readme2rtf-docx-txt-auto-convert-github-readmes-to-rtf-docx-txt-tada"/>
      <w:bookmarkEnd w:id="629"/>
      <w:r>
        <w:t xml:space="preserve">🚀</w:t>
      </w:r>
      <w:r>
        <w:t xml:space="preserve"> gh-readme2rtf-docx-txt — Auto-Convert GitHub READMEs to RTF, DOCX &amp; TXT </w:t>
      </w:r>
      <w:r>
        <w:t xml:space="preserve">🎉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rendered as shareable RTF, DOCX, and TXT files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┌──▶  README.rtf  ── Word / LibreOffice / WordPad / TextEdit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──┼──▶  README.docx ── Microsoft Word / Google Docs / Pages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└──▶  README.txt  ── Plain text, any editor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</w:t>
      </w:r>
      <w:r>
        <w:t xml:space="preserve">🎨</w:t>
      </w:r>
      <w:r>
        <w:t xml:space="preserve"> </w:t>
      </w:r>
      <w:r>
        <w:rPr>
          <w:b/>
        </w:rPr>
        <w:t xml:space="preserve">Syntax-Highlighted Code (RTF + DOCX)</w:t>
      </w:r>
      <w:r>
        <w:t xml:space="preserve"> | </w:t>
      </w:r>
      <w:r>
        <w:t xml:space="preserve">🔗</w:t>
      </w:r>
      <w:r>
        <w:t xml:space="preserve">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4315" w:name="why"/>
      <w:bookmarkEnd w:id="4315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💼</w:t>
      </w:r>
      <w:r>
        <w:t xml:space="preserve">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📄</w:t>
      </w:r>
      <w:r>
        <w:t xml:space="preserve">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✈️</w:t>
      </w:r>
      <w:r>
        <w:t xml:space="preserve">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🖨️</w:t>
      </w:r>
      <w:r>
        <w:t xml:space="preserve">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action auto-generates rich, formatted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outputs open in any word processor on any OS — Word, LibreOffice, Google Docs, Pages, WordPad, TextEdit — no browser required.</w:t>
      </w:r>
    </w:p>
    <w:p>
      <w:pPr>
        <w:pStyle w:val="Heading2"/>
      </w:pPr>
      <w:bookmarkStart w:id="6514" w:name="what-you-get"/>
      <w:bookmarkEnd w:id="6514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RTF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DOCX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TXT</w:t>
            </w:r>
          </w:p>
        </w:tc>
      </w:tr>
      <w:tr>
        <w:tc>
          <w:p>
            <w:r>
              <w:t xml:space="preserve">Headings (h1–h6) with sized styles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  <w:r>
              <w:t xml:space="preserve">, </w:t>
            </w:r>
            <w:r>
              <w:rPr>
                <w:u w:val="single"/>
              </w:rPr>
              <w:t xml:space="preserve">underline</w:t>
            </w:r>
            <w:r>
              <w:t xml:space="preserve">, </w:t>
            </w:r>
            <w:r>
              <w:rPr>
                <w:vertAlign w:val="subscript"/>
              </w:rPr>
              <w:t xml:space="preserve">sub</w:t>
            </w:r>
            <w:r>
              <w:t xml:space="preserve">, </w:t>
            </w:r>
            <w:r>
              <w:rPr>
                <w:vertAlign w:val="superscript"/>
              </w:rPr>
              <w:t xml:space="preserve">sup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section-anchor links (bookmarks)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Relative link resolution to GitHub blob URLs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→ GitHub profile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→ GitHub issue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Tables with borders + column alignment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Blockquotes (including nested)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Emoji shortcodes (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:rocket:</w:t>
            </w:r>
            <w:r>
              <w:t xml:space="preserve"> → 🚀)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</w:tbl>
    <w:p>
      <w:r>
        <w:t xml:space="preserve">TXT output is a link-resolved plain-text render — markdown structure preserved, link targets rewritten, no binary formatting.</w:t>
      </w:r>
    </w:p>
    <w:p>
      <w:pPr>
        <w:pStyle w:val="Heading2"/>
      </w:pPr>
      <w:bookmarkStart w:id="3357" w:name="quick-start"/>
      <w:bookmarkEnd w:id="3357"/>
      <w:r>
        <w:t xml:space="preserve">Quick Start</w:t>
      </w:r>
    </w:p>
    <w:p>
      <w:pPr>
        <w:pStyle w:val="Heading3"/>
      </w:pPr>
      <w:bookmarkStart w:id="2948" w:name="1-files-you-need-download-the-zip-from-releases-and-extract-at-your-repo-root"/>
      <w:bookmarkEnd w:id="2948"/>
      <w:r>
        <w:t xml:space="preserve">1. Files you need — download the zip from Releases and extract at your repo root</w:t>
      </w:r>
    </w:p>
    <w:p>
      <w:r>
        <w:t xml:space="preserve">Grab the latest </w:t>
      </w:r>
      <w:r>
        <w:rPr>
          <w:b/>
          <w:rFonts w:ascii="Consolas" w:hAnsi="Consolas"/>
          <w:sz w:val="20"/>
          <w:shd w:val="clear" w:fill="E6F0FA"/>
        </w:rPr>
        <w:t xml:space="preserve">gh-readme2rtf-docx-txt-install.zip</w:t>
      </w:r>
      <w:r>
        <w:t xml:space="preserve"> from the </w:t>
      </w:r>
      <w:r>
        <w:fldChar w:fldCharType="begin"/>
      </w:r>
      <w:r>
        <w:instrText xml:space="preserve"> HYPERLINK "../../releases" </w:instrText>
      </w:r>
      <w:r>
        <w:fldChar w:fldCharType="separate"/>
      </w:r>
      <w:r>
        <w:rPr>
          <w:color w:val="365F91"/>
          <w:u w:val="single"/>
        </w:rPr>
        <w:t xml:space="preserve">Releases</w:t>
      </w:r>
      <w:r>
        <w:fldChar w:fldCharType="end"/>
      </w:r>
      <w:r>
        <w:t xml:space="preserve"> page and unzip it at the root of your project. The zip mirrors the final install layout, so extraction drops everything into the correct place: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your-repo/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├── gh-readme2rtf-docx-txt-settings.json    ◄── the only file at your repo root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│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└── .github/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├── workflows/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│   └── gh-readme2rtf-docx-txt.yml      ◄── the workflow GitHub Actions discovers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│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└── actions/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└── gh-readme2rtf-docx-txt/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├── action.yml                  ◄── composite action definition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├── gh-readme2rtf-docx-txt.py   ◄── the converter (GFM → RTF/DOCX/TXT)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└── rtf_image_embedder.py       ◄── RTF image post-processor</w:t>
      </w:r>
    </w:p>
    <w:p>
      <w:r>
        <w:t xml:space="preserve">The zip also includes </w:t>
      </w:r>
      <w:r>
        <w:rPr>
          <w:rFonts w:ascii="Consolas" w:hAnsi="Consolas"/>
          <w:sz w:val="20"/>
          <w:shd w:val="clear" w:fill="E6F0FA"/>
        </w:rPr>
        <w:t xml:space="preserve">gh-readme2rtf-docx-txt.rtf</w:t>
      </w:r>
      <w:r>
        <w:t xml:space="preserve"> (a renamed copy of this README rendered to RTF) so you can see a working example of the tool's output right next to the files.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Why this layout?</w:t>
      </w:r>
      <w:r>
        <w:t xml:space="preserve"> The workflow YAML must live directly in </w:t>
      </w:r>
      <w:r>
        <w:rPr>
          <w:rFonts w:ascii="Consolas" w:hAnsi="Consolas"/>
          <w:sz w:val="20"/>
          <w:shd w:val="clear" w:fill="E6F0FA"/>
        </w:rPr>
        <w:t xml:space="preserve">.github/workflows/</w:t>
      </w:r>
      <w:r>
        <w:t xml:space="preserve"> — GitHub only discovers workflows at that exact path. Everything else (the composite action, Python scripts) is consolidated into one sibling folder, </w:t>
      </w:r>
      <w:r>
        <w:rPr>
          <w:rFonts w:ascii="Consolas" w:hAnsi="Consolas"/>
          <w:sz w:val="20"/>
          <w:shd w:val="clear" w:fill="E6F0FA"/>
        </w:rPr>
        <w:t xml:space="preserve">.github/actions/gh-readme2rtf-docx-txt/</w:t>
      </w:r>
      <w:r>
        <w:t xml:space="preserve">. The settings file sits at the repo root so it's easy to find and edit.</w:t>
      </w:r>
    </w:p>
    <w:p>
      <w:pPr>
        <w:pStyle w:val="Heading3"/>
      </w:pPr>
      <w:bookmarkStart w:id="4003" w:name="2-configure-which-files-and-formats-to-generate"/>
      <w:bookmarkEnd w:id="4003"/>
      <w:r>
        <w:t xml:space="preserve">2. Configure which files and formats to generate</w:t>
      </w:r>
    </w:p>
    <w:p>
      <w:r>
        <w:t xml:space="preserve">Edit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at the repo root: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"files"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"input"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"README.md"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"output_formats"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"rtf"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"docx"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"txt"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Each entry picks any combination of </w:t>
      </w:r>
      <w:r>
        <w:rPr>
          <w:rFonts w:ascii="Consolas" w:hAnsi="Consolas"/>
          <w:sz w:val="20"/>
          <w:shd w:val="clear" w:fill="E6F0FA"/>
        </w:rPr>
        <w:t xml:space="preserve">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txt</w:t>
      </w:r>
      <w:r>
        <w:t xml:space="preserve">. Multiple </w:t>
      </w:r>
      <w:r>
        <w:rPr>
          <w:rFonts w:ascii="Consolas" w:hAnsi="Consolas"/>
          <w:sz w:val="20"/>
          <w:shd w:val="clear" w:fill="E6F0FA"/>
        </w:rPr>
        <w:t xml:space="preserve">files</w:t>
      </w:r>
      <w:r>
        <w:t xml:space="preserve"> entries are supported — e.g. a top-level README plus submodule READMEs.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Settings location note:</w:t>
      </w:r>
      <w:r>
        <w:t xml:space="preserve"> the settings file lives at the repo root by default. If you prefer a different location (e.g. </w:t>
      </w:r>
      <w:r>
        <w:rPr>
          <w:rFonts w:ascii="Consolas" w:hAnsi="Consolas"/>
          <w:sz w:val="20"/>
          <w:shd w:val="clear" w:fill="E6F0FA"/>
        </w:rPr>
        <w:t xml:space="preserve">config/readme-docs.json</w:t>
      </w:r>
      <w:r>
        <w:t xml:space="preserve">), update the path in two places in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: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trigger entry </w:t>
      </w:r>
      <w:r>
        <w:rPr>
          <w:b/>
        </w:rPr>
        <w:t xml:space="preserve">and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SETTINGS_PATH</w:t>
      </w:r>
      <w:r>
        <w:t xml:space="preserve"> env var of the sync step. The workflow's self-sync logic keeps everything else in step from there.</w:t>
      </w:r>
    </w:p>
    <w:p>
      <w:pPr>
        <w:pStyle w:val="Heading3"/>
      </w:pPr>
      <w:bookmarkStart w:id="7992" w:name="3-add-the-workflow"/>
      <w:bookmarkEnd w:id="7992"/>
      <w:r>
        <w:t xml:space="preserve">3. Add the workflow</w:t>
      </w:r>
    </w:p>
    <w:p>
      <w:r>
        <w:t xml:space="preserve">Copy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 from this repo into your own — it's already wired up. Key pieces: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on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workflow_dispatch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push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paths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gh-readme2rtf-docx-txt-settings.json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↓ additional entries are auto-appended by the sync step below,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  mirroring every `input` path from the settings file.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README.md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jobs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convert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steps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Sync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workflow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trigger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paths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settings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file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Reads the settings JSON, rewrites this file's `paths:` block if 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drifts. Commits a small workflow-only update when it changes.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python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</w:rPr>
        <w:t xml:space="preserve">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./.github/actions/gh-readme2rtf-docx-txt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... stage, commit, push generated files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See the workflow file in this repo for the full listing.</w:t>
      </w:r>
    </w:p>
    <w:p>
      <w:pPr>
        <w:pStyle w:val="Heading3"/>
      </w:pPr>
      <w:bookmarkStart w:id="9275" w:name="4-push-and-done"/>
      <w:bookmarkEnd w:id="9275"/>
      <w:r>
        <w:t xml:space="preserve">4. Push and done</w:t>
      </w:r>
    </w:p>
    <w:p>
      <w:r>
        <w:t xml:space="preserve">The workflow is triggered by </w:t>
      </w:r>
      <w:r>
        <w:rPr>
          <w:b/>
        </w:rPr>
        <w:t xml:space="preserve">any push that modifies the settings file or one of the tracked input files</w:t>
      </w:r>
      <w:r>
        <w:t xml:space="preserve">. It regenerates the configured outputs and commits them back. You can also trigger it manually from the Actions tab.</w:t>
      </w:r>
    </w:p>
    <w:p>
      <w:r>
        <w:rPr>
          <w:b/>
        </w:rPr>
        <w:t xml:space="preserve">How the trigger stays in sync: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block starts seeded with just the settings file. On every run, the first step reads the settings file, computes the set of tracked inputs, and — if the workflow's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list doesn't already match — rewrites that block and commits the workflow file. So the next time you add or remove an </w:t>
      </w:r>
      <w:r>
        <w:rPr>
          <w:rFonts w:ascii="Consolas" w:hAnsi="Consolas"/>
          <w:sz w:val="20"/>
          <w:shd w:val="clear" w:fill="E6F0FA"/>
        </w:rPr>
        <w:t xml:space="preserve">input</w:t>
      </w:r>
      <w:r>
        <w:t xml:space="preserve"> entry in the settings file, the workflow re-triggers itself, self-heals, and then future edits to the newly-tracked paths start firing the workflow automatically.</w:t>
      </w:r>
    </w:p>
    <w:p>
      <w:r>
        <w:t xml:space="preserve">Converter source-code changes do </w:t>
      </w:r>
      <w:r>
        <w:rPr>
          <w:b/>
        </w:rPr>
        <w:t xml:space="preserve">not</w:t>
      </w:r>
      <w:r>
        <w:t xml:space="preserve"> auto-trigger the workflow — run it manually from the Actions tab when you want to regenerate outputs after a code change.</w:t>
      </w:r>
    </w:p>
    <w:p>
      <w:pPr>
        <w:pStyle w:val="Heading2"/>
      </w:pPr>
      <w:bookmarkStart w:id="6977" w:name="how-it-works"/>
      <w:bookmarkEnd w:id="6977"/>
      <w:r>
        <w:t xml:space="preserve">How It Works</w:t>
      </w:r>
    </w:p>
    <w:p>
      <w:r>
        <w:t xml:space="preserve">Two Python files,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gh-readme2rtf-docx-txt.py</w:t>
      </w:r>
      <w:r>
        <w:t xml:space="preserve"> — Single converter driven by a data-driven rule engine. Parses GitHub-Flavored Markdown and emits RTF, DOCX, or TXT based on the output extension.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 across both RTF and DOCX.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, and relative links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Post-processor for the RTF path only.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placeholders, reads referenced local images, downscales them with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 to fit page bounds,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 DOCX image embedding is handled inside the main converter using the OOXML package's native image relationships.</w:t>
      </w:r>
    </w:p>
    <w:p>
      <w:r>
        <w:t xml:space="preserve">The composite action (</w:t>
      </w:r>
      <w:r>
        <w:rPr>
          <w:rFonts w:ascii="Consolas" w:hAnsi="Consolas"/>
          <w:sz w:val="20"/>
          <w:shd w:val="clear" w:fill="E6F0FA"/>
        </w:rPr>
        <w:t xml:space="preserve">action.yml</w:t>
      </w:r>
      <w:r>
        <w:t xml:space="preserve">) reads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and dispatches the converter per file/format.</w:t>
      </w:r>
    </w:p>
    <w:p>
      <w:pPr>
        <w:pStyle w:val="Heading3"/>
      </w:pPr>
      <w:bookmarkStart w:id="2434" w:name="dependencies"/>
      <w:bookmarkEnd w:id="2434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9876" w:name="run-locally"/>
      <w:bookmarkEnd w:id="9876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install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pygments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RTF (two steps: convert, then embed images)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DOCX (single step — images embedded inline)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README.docx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TXT (link-resolved plain text)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2"/>
      </w:pPr>
      <w:bookmarkStart w:id="9862" w:name="architecture-at-a-glance"/>
      <w:bookmarkEnd w:id="9862"/>
      <w:r>
        <w:t xml:space="preserve">Architecture at a Glance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[ PARSER ]  ──▶  [ CONVERSION TABLE ]  ──▶  [ FORMAT POST-PASS ]  ──▶  output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block + inline     GFM element ─┬─▶ rtf       one cleanup pass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line by line                    ├─▶ docx      per file format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                                └─▶ txt</w:t>
      </w:r>
    </w:p>
    <w:p>
      <w:pPr>
        <w:pStyle w:val="Heading3"/>
      </w:pPr>
      <w:bookmarkStart w:id="2831" w:name="1-parsing-read-it-line-by-line"/>
      <w:bookmarkEnd w:id="2831"/>
      <w:r>
        <w:t xml:space="preserve">1. Parsing — read it line by line</w:t>
      </w:r>
    </w:p>
    <w:p>
      <w:r>
        <w:t xml:space="preserve">The converter walks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top-to-bottom. Each line tries the </w:t>
      </w:r>
      <w:r>
        <w:rPr>
          <w:b/>
        </w:rPr>
        <w:t xml:space="preserve">block handlers</w:t>
      </w:r>
      <w:r>
        <w:t xml:space="preserve"> in order (heading, fenced code, table, list, blockquote, footnote-def, paragraph…); first match wins. The matched block's text then flows through the </w:t>
      </w:r>
      <w:r>
        <w:rPr>
          <w:b/>
        </w:rPr>
        <w:t xml:space="preserve">inline conversion table</w:t>
      </w:r>
      <w:r>
        <w:t xml:space="preserve"> for emphasis, links, emoji,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and so on.</w:t>
      </w:r>
    </w:p>
    <w:p>
      <w:pPr>
        <w:pStyle w:val="Heading3"/>
      </w:pPr>
      <w:bookmarkStart w:id="1394" w:name="2-the-conversion-table-strategy-pattern-expressed-as-data"/>
      <w:bookmarkEnd w:id="1394"/>
      <w:r>
        <w:t xml:space="preserve">2. The conversion table — strategy pattern, expressed as data</w:t>
      </w:r>
    </w:p>
    <w:p>
      <w:r>
        <w:t xml:space="preserve">Instead of three parallel converters (</w:t>
      </w:r>
      <w:r>
        <w:rPr>
          <w:rFonts w:ascii="Consolas" w:hAnsi="Consolas"/>
          <w:sz w:val="20"/>
          <w:shd w:val="clear" w:fill="E6F0FA"/>
        </w:rPr>
        <w:t xml:space="preserve">MarkdownToRtf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MarkdownToTxt</w:t>
      </w:r>
      <w:r>
        <w:t xml:space="preserve">) with overridden methods, the codebase uses </w:t>
      </w:r>
      <w:r>
        <w:rPr>
          <w:b/>
        </w:rPr>
        <w:t xml:space="preserve">one table</w:t>
      </w:r>
      <w:r>
        <w:t xml:space="preserve"> where each row is a GFM element and each column is a pure function that emits that element in one target format: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INLINE_RULES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(name,           (pattern,                    {'rtf': ...,       'docx': ...}))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bold_star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*(.+?)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b 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1}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docx_bold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md_link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(([^)]+)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)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rtf_link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docx_link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emoji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: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w+: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rtf_emoji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docx_emoji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footnote_ref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^([^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rtf_footnote_ref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docx_footnote_ref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BLOCK_RULES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block_list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docx_block_heading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The dispatcher is four lines: </w:t>
      </w:r>
      <w:r>
        <w:rPr>
          <w:b/>
        </w:rPr>
        <w:t xml:space="preserve">look up the active format in the row's dict, call the function (or substitute the string), move on</w:t>
      </w:r>
      <w:r>
        <w:t xml:space="preserve">. That's the </w:t>
      </w:r>
      <w:r>
        <w:rPr>
          <w:b/>
        </w:rPr>
        <w:t xml:space="preserve">strategy pattern implemented functionally</w:t>
      </w:r>
      <w:r>
        <w:t xml:space="preserve"> — each strategy is a small pure function (or an </w:t>
      </w:r>
      <w:r>
        <w:rPr>
          <w:rFonts w:ascii="Consolas" w:hAnsi="Consolas"/>
          <w:sz w:val="20"/>
          <w:shd w:val="clear" w:fill="E6F0FA"/>
        </w:rPr>
        <w:t xml:space="preserve">re.sub</w:t>
      </w:r>
      <w:r>
        <w:t xml:space="preserve"> replacement string), chosen by dict key at runtime. No base class, no subclass hierarchy, no visitor.</w:t>
      </w:r>
    </w:p>
    <w:p>
      <w:r>
        <w:t xml:space="preserve">What this feels like when you edit the code: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markdown feature</w:t>
      </w:r>
      <w:r>
        <w:t xml:space="preserve"> → add one row. (This is how </w:t>
      </w:r>
      <w:r>
        <w:rPr>
          <w:rFonts w:ascii="Consolas" w:hAnsi="Consolas"/>
          <w:sz w:val="20"/>
          <w:shd w:val="clear" w:fill="E6F0FA"/>
        </w:rPr>
        <w:t xml:space="preserve">&lt;sub&gt;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&lt;sup&gt;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&lt;ins&gt;</w:t>
      </w:r>
      <w:r>
        <w:t xml:space="preserve">, and the emoji shortcode map were added.)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new output format</w:t>
      </w:r>
      <w:r>
        <w:t xml:space="preserve"> → add one key to every row. Dispatcher doesn't change.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Tweak how bold renders in DOCX</w:t>
      </w:r>
      <w:r>
        <w:t xml:space="preserve"> → edit one cell. Other formats untouched.</w:t>
      </w:r>
    </w:p>
    <w:p>
      <w:pPr>
        <w:ind w:left="720"/>
        <w:spacing w:after="40"/>
      </w:pPr>
      <w:r>
        <w:t xml:space="preserve">• </w:t>
      </w:r>
      <w:r>
        <w:t xml:space="preserve">Rules run in </w:t>
      </w:r>
      <w:r>
        <w:rPr>
          <w:b/>
        </w:rPr>
        <w:t xml:space="preserve">phases</w:t>
      </w:r>
      <w:r>
        <w:t xml:space="preserve"> (HTML strip → escapes → links/images → inline code stash → GitHub refs → formatting), so later rows can assume earlier phases have already happened.</w:t>
      </w:r>
    </w:p>
    <w:p>
      <w:pPr>
        <w:pStyle w:val="Heading3"/>
      </w:pPr>
      <w:bookmarkStart w:id="973" w:name="3-post-cleanup-per-doc-type"/>
      <w:bookmarkEnd w:id="973"/>
      <w:r>
        <w:t xml:space="preserve">3. Post-cleanup per doc type</w:t>
      </w:r>
    </w:p>
    <w:p>
      <w:r>
        <w:t xml:space="preserve">The conversion table handles </w:t>
      </w:r>
      <w:r>
        <w:rPr>
          <w:i/>
        </w:rPr>
        <w:t xml:space="preserve">content</w:t>
      </w:r>
      <w:r>
        <w:t xml:space="preserve">. Format-specific </w:t>
      </w:r>
      <w:r>
        <w:rPr>
          <w:i/>
        </w:rPr>
        <w:t xml:space="preserve">plumbing</w:t>
      </w:r>
      <w:r>
        <w:t xml:space="preserve"> lives in a small post-pass so the core stays format-agnostic: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Format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Post-pass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r>
              <w:rPr>
                <w:b/>
              </w:rPr>
              <w:t xml:space="preserve">RTF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rtf_image_embedder.py</w:t>
            </w:r>
            <w:r>
              <w:t xml:space="preserve"> swaps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[Image: ...]</w:t>
            </w:r>
            <w:r>
              <w:t xml:space="preserve"> markers for hex-encoded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\pict</w:t>
            </w:r>
            <w:r>
              <w:t xml:space="preserve"> blocks</w:t>
            </w:r>
          </w:p>
        </w:tc>
        <w:tc>
          <w:p>
            <w:r>
              <w:t xml:space="preserve">Images get sized against page bounds only after layout is known</w:t>
            </w:r>
          </w:p>
        </w:tc>
      </w:tr>
      <w:tr>
        <w:tc>
          <w:p>
            <w:r>
              <w:rPr>
                <w:b/>
              </w:rPr>
              <w:t xml:space="preserve">DOCX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&lt;w:sectPr&gt;</w:t>
            </w:r>
            <w:r>
              <w:t xml:space="preserve"> gets injected into the last paragraph's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&lt;w:pPr&gt;</w:t>
            </w:r>
          </w:p>
        </w:tc>
        <w:tc>
          <w:p>
            <w:r>
              <w:t xml:space="preserve">A body-level sectPr makes Word render a ghost trailing blank page</w:t>
            </w:r>
          </w:p>
        </w:tc>
      </w:tr>
      <w:tr>
        <w:tc>
          <w:p>
            <w:r>
              <w:rPr>
                <w:b/>
              </w:rPr>
              <w:t xml:space="preserve">TXT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_txt_resolve_relative_links_only</w:t>
            </w:r>
            <w:r>
              <w:t xml:space="preserve"> rewrites relative links to full GitHub URLs</w:t>
            </w:r>
          </w:p>
        </w:tc>
        <w:tc>
          <w:p>
            <w:r>
              <w:t xml:space="preserve">Plain text has nothing else to process</w:t>
            </w:r>
          </w:p>
        </w:tc>
      </w:tr>
    </w:tbl>
    <w:p>
      <w:pPr>
        <w:pStyle w:val="Heading2"/>
      </w:pPr>
      <w:bookmarkStart w:id="7739" w:name="viewing-tips"/>
      <w:bookmarkEnd w:id="7739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r>
        <w:t xml:space="preserve">The DOCX opens natively in Microsoft Word, Google Docs, and Pages — no squiggle toggling needed.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953" w:name="test_tube-test-content"/>
      <w:bookmarkEnd w:id="953"/>
      <w:r>
        <w:t xml:space="preserve">🧪</w:t>
      </w:r>
      <w:r>
        <w:t xml:space="preserve">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README.docx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README.txt</w:t>
      </w:r>
      <w:r>
        <w:t xml:space="preserve"> in this repo are living proof it all works — open any of them and compare!</w:t>
      </w:r>
    </w:p>
    <w:p>
      <w:pPr>
        <w:pStyle w:val="Heading2"/>
      </w:pPr>
      <w:bookmarkStart w:id="4467" w:name="heading-level-2"/>
      <w:bookmarkEnd w:id="4467"/>
      <w:r>
        <w:t xml:space="preserve">Heading Level 2</w:t>
      </w:r>
    </w:p>
    <w:p>
      <w:pPr>
        <w:pStyle w:val="Heading3"/>
      </w:pPr>
      <w:bookmarkStart w:id="9818" w:name="heading-level-3"/>
      <w:bookmarkEnd w:id="9818"/>
      <w:r>
        <w:t xml:space="preserve">Heading Level 3</w:t>
      </w:r>
    </w:p>
    <w:p>
      <w:pPr>
        <w:pStyle w:val="Heading4"/>
      </w:pPr>
      <w:bookmarkStart w:id="6906" w:name="heading-level-4"/>
      <w:bookmarkEnd w:id="6906"/>
      <w:r>
        <w:t xml:space="preserve">Heading Level 4</w:t>
      </w:r>
    </w:p>
    <w:p>
      <w:pPr>
        <w:pStyle w:val="Heading5"/>
      </w:pPr>
      <w:bookmarkStart w:id="7759" w:name="heading-level-5"/>
      <w:bookmarkEnd w:id="7759"/>
      <w:r>
        <w:t xml:space="preserve">Heading Level 5</w:t>
      </w:r>
    </w:p>
    <w:p>
      <w:pPr>
        <w:pStyle w:val="Heading6"/>
      </w:pPr>
      <w:bookmarkStart w:id="8041" w:name="heading-level-6"/>
      <w:bookmarkEnd w:id="8041"/>
      <w:r>
        <w:t xml:space="preserve">Heading Level 6</w:t>
      </w:r>
    </w:p>
    <w:p>
      <w:pPr>
        <w:pStyle w:val="Heading2"/>
      </w:pPr>
      <w:bookmarkStart w:id="8538" w:name="text-formatting"/>
      <w:bookmarkEnd w:id="8538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5959" w:name="links"/>
      <w:bookmarkEnd w:id="5959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4677" w:name="images"/>
      <w:bookmarkEnd w:id="4677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6474" w:name="blockquotes"/>
      <w:bookmarkEnd w:id="6474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582" w:name="alerts"/>
      <w:bookmarkEnd w:id="582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9321" w:name="unordered-lists"/>
      <w:bookmarkEnd w:id="9321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616" w:name="ordered-lists"/>
      <w:bookmarkEnd w:id="616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1697" w:name="task-lists"/>
      <w:bookmarkEnd w:id="1697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1994" w:name="inline-code"/>
      <w:bookmarkEnd w:id="1994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9043" w:name="fenced-code-blocks"/>
      <w:bookmarkEnd w:id="9043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fun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main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val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Hello, World!</w:t>
      </w:r>
      <w:r>
        <w:rPr>
          <w:rFonts w:ascii="Consolas" w:hAnsi="Consolas"/>
          <w:sz w:val="20"/>
          <w:color w:val="A31515"/>
        </w:rPr>
        <w:t xml:space="preserve">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</w:rPr>
        <w:t xml:space="preserve">println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&lt;uses-permission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2B91AF"/>
        </w:rPr>
        <w:t xml:space="preserve">android:name=</w:t>
      </w:r>
      <w:r>
        <w:rPr>
          <w:rFonts w:ascii="Consolas" w:hAnsi="Consolas"/>
          <w:sz w:val="20"/>
          <w:color w:val="A31515"/>
        </w:rPr>
        <w:t xml:space="preserve">"android.permission.INTERNET"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echo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6948" w:name="tables"/>
      <w:bookmarkEnd w:id="6948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3049" w:name="horizontal-rules"/>
      <w:bookmarkEnd w:id="3049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7526" w:name="footnotes"/>
      <w:bookmarkEnd w:id="7526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7181" w:name="emoji"/>
      <w:bookmarkEnd w:id="7181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2458" w:name="color-codes"/>
      <w:bookmarkEnd w:id="2458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2223" w:name="html-comments"/>
      <w:bookmarkEnd w:id="2223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6517" w:name="mixed-nesting"/>
      <w:bookmarkEnd w:id="6517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print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1425" w:name="fn-1"/>
      <w:bookmarkEnd w:id="1425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  <w:sectPr>
          <w:pgSz w:w="12240" w:h="15840"/>
          <w:pgMar w:top="1440" w:right="1440" w:bottom="1440" w:left="1440"/>
        </w:sectPr>
      </w:pPr>
      <w:bookmarkStart w:id="8506" w:name="fn-longnote"/>
      <w:bookmarkEnd w:id="8506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