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5623" w:name="rocket-gh-readme2rtf-docx-txt-auto-convert-github-readmes-to-rtf-docx-txt-tada"/>
      <w:bookmarkEnd w:id="5623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 or release.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7146" w:name="why"/>
      <w:bookmarkEnd w:id="7146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9710" w:name="what-you-get"/>
      <w:bookmarkEnd w:id="9710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with relative </w:t>
      </w:r>
      <w:r>
        <w:rPr>
          <w:rFonts w:ascii="Consolas" w:hAnsi="Consolas"/>
          <w:sz w:val="20"/>
          <w:shd w:val="clear" w:fill="E6F0FA"/>
        </w:rPr>
        <w:t xml:space="preserve">&lt;w:r&gt;&lt;w:fldChar w:fldCharType="begin"/&gt;&lt;/w:r&gt;&lt;w:r&gt;&lt;w:instrText xml:space="preserve"&gt; HYPERLINK "path" &lt;/w:instrText&gt;&lt;/w:r&gt;&lt;w:r&gt;&lt;w:fldChar w:fldCharType="separate"/&gt;&lt;/w:r&gt;&lt;w:r&gt;&lt;w:rPr&gt;&lt;w:color w:val="365F91"/&gt;&lt;w:u w:val="single"/&gt;&lt;/w:rPr&gt;&lt;w:t xml:space="preserve"&gt;text&lt;/w:t&gt;&lt;/w:r&gt;&lt;w:r&gt;&lt;w:fldChar w:fldCharType="end"/&gt;&lt;/w:r&gt;</w:t>
      </w:r>
      <w:r>
        <w:t xml:space="preserve"> links,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#issue</w:t>
      </w:r>
      <w:r>
        <w:t xml:space="preserve"> refs all rewritten to full GitHub URLs. No binary formatting.</w:t>
      </w:r>
    </w:p>
    <w:p>
      <w:pPr>
        <w:pStyle w:val="Heading2"/>
      </w:pPr>
      <w:bookmarkStart w:id="4227" w:name="quick-start"/>
      <w:bookmarkEnd w:id="4227"/>
      <w:r>
        <w:t xml:space="preserve">Quick Start</w:t>
      </w:r>
    </w:p>
    <w:p>
      <w:pPr>
        <w:pStyle w:val="Heading3"/>
      </w:pPr>
      <w:bookmarkStart w:id="2221" w:name="1-files-you-need-download-the-zip-from-releases-and-extract-at-your-repo-root"/>
      <w:bookmarkEnd w:id="2221"/>
      <w:r>
        <w:t xml:space="preserve">1. Files you need — download the zip from Releases and extract at your repo root</w:t>
      </w:r>
    </w:p>
    <w:p>
      <w:r>
        <w:t xml:space="preserve">Grab the latest </w:t>
      </w:r>
      <w:r>
        <w:rPr>
          <w:b/>
          <w:rFonts w:ascii="Consolas" w:hAnsi="Consolas"/>
          <w:sz w:val="20"/>
          <w:shd w:val="clear" w:fill="E6F0FA"/>
        </w:rPr>
        <w:t xml:space="preserve">gh-readme2rtf-docx-txt-install.zip</w:t>
      </w:r>
      <w:r>
        <w:t xml:space="preserve"> from the </w:t>
      </w:r>
      <w:r>
        <w:fldChar w:fldCharType="begin"/>
      </w:r>
      <w:r>
        <w:instrText xml:space="preserve"> HYPERLINK "../../releases" </w:instrText>
      </w:r>
      <w:r>
        <w:fldChar w:fldCharType="separate"/>
      </w:r>
      <w:r>
        <w:rPr>
          <w:color w:val="365F91"/>
          <w:u w:val="single"/>
        </w:rPr>
        <w:t xml:space="preserve">Releases</w:t>
      </w:r>
      <w:r>
        <w:fldChar w:fldCharType="end"/>
      </w:r>
      <w:r>
        <w:t xml:space="preserve"> page and unzip it at the root of your project. The zip mirrors the final install layout, so extraction drops everything into the correct place: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your-repo/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├── gh-readme2rtf-docx-txt-settings.json    ◄── the only file at your repo root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└── .github/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├── workflows/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   └── gh-readme2rtf-docx-txt.yml      ◄── the workflow GitHub Actions discovers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│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└── actions/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└── 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action.yml                  ◄── composite action definition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├── gh-readme2rtf-docx-txt.py   ◄── the converter (GFM → RTF/DOCX/TXT)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└── rtf_image_embedder.py       ◄── RTF image post-processor</w:t>
      </w:r>
    </w:p>
    <w:p>
      <w:r>
        <w:t xml:space="preserve">The zip also includes </w:t>
      </w:r>
      <w:r>
        <w:rPr>
          <w:rFonts w:ascii="Consolas" w:hAnsi="Consolas"/>
          <w:sz w:val="20"/>
          <w:shd w:val="clear" w:fill="E6F0FA"/>
        </w:rPr>
        <w:t xml:space="preserve">gh-readme2rtf-docx-txt.rtf</w:t>
      </w:r>
      <w:r>
        <w:t xml:space="preserve"> (a renamed copy of this README rendered to RTF) so you can see a working example of the tool's output right next to the files.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Why this layout?</w:t>
      </w:r>
      <w:r>
        <w:t xml:space="preserve"> The workflow YAML must live directly in </w:t>
      </w:r>
      <w:r>
        <w:rPr>
          <w:rFonts w:ascii="Consolas" w:hAnsi="Consolas"/>
          <w:sz w:val="20"/>
          <w:shd w:val="clear" w:fill="E6F0FA"/>
        </w:rPr>
        <w:t xml:space="preserve">.github/workflows/</w:t>
      </w:r>
      <w:r>
        <w:t xml:space="preserve"> — GitHub only discovers workflows at that exact path. Everything else (the composite action, Python scripts) is consolidated into one sibling folder, </w:t>
      </w:r>
      <w:r>
        <w:rPr>
          <w:rFonts w:ascii="Consolas" w:hAnsi="Consolas"/>
          <w:sz w:val="20"/>
          <w:shd w:val="clear" w:fill="E6F0FA"/>
        </w:rPr>
        <w:t xml:space="preserve">.github/actions/gh-readme2rtf-docx-txt/</w:t>
      </w:r>
      <w:r>
        <w:t xml:space="preserve">. The settings file sits at the repo root so it's easy to find and edit.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Committing generated files back to your repo complicates git operations.</w:t>
      </w:r>
      <w:r>
        <w:t xml:space="preserve"> Every push that edits a tracked README will produce an auto-commit of regenerated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 /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files, meaning you must </w:t>
      </w:r>
      <w:r>
        <w:rPr>
          <w:b/>
          <w:rFonts w:ascii="Consolas" w:hAnsi="Consolas"/>
          <w:sz w:val="20"/>
          <w:shd w:val="clear" w:fill="E6F0FA"/>
        </w:rPr>
        <w:t xml:space="preserve">git pull</w:t>
      </w:r>
      <w:r>
        <w:t xml:space="preserve"> after every such push before continuing work — otherwise your next push will reject as non-fast-forward.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rPr>
          <w:b/>
        </w:rPr>
        <w:t xml:space="preserve">Recommended setup: attach generated files to releases, not commits.</w:t>
      </w:r>
      <w:r>
        <w:t xml:space="preserve"> Point the settings file's </w:t>
      </w:r>
      <w:r>
        <w:rPr>
          <w:rFonts w:ascii="Consolas" w:hAnsi="Consolas"/>
          <w:sz w:val="20"/>
          <w:shd w:val="clear" w:fill="E6F0FA"/>
        </w:rPr>
        <w:t xml:space="preserve">commit_to_repo</w:t>
      </w:r>
      <w:r>
        <w:t xml:space="preserve"> flag to </w:t>
      </w:r>
      <w:r>
        <w:rPr>
          <w:rFonts w:ascii="Consolas" w:hAnsi="Consolas"/>
          <w:sz w:val="20"/>
          <w:shd w:val="clear" w:fill="E6F0FA"/>
        </w:rPr>
        <w:t xml:space="preserve">false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attach_to_release</w:t>
      </w:r>
      <w:r>
        <w:t xml:space="preserve"> to </w:t>
      </w:r>
      <w:r>
        <w:rPr>
          <w:rFonts w:ascii="Consolas" w:hAnsi="Consolas"/>
          <w:sz w:val="20"/>
          <w:shd w:val="clear" w:fill="E6F0FA"/>
        </w:rPr>
        <w:t xml:space="preserve">true</w:t>
      </w:r>
      <w:r>
        <w:t xml:space="preserve">; then create a release (or trigger the workflow from a </w:t>
      </w:r>
      <w:r>
        <w:rPr>
          <w:rFonts w:ascii="Consolas" w:hAnsi="Consolas"/>
          <w:sz w:val="20"/>
          <w:shd w:val="clear" w:fill="E6F0FA"/>
        </w:rPr>
        <w:t xml:space="preserve">release: published</w:t>
      </w:r>
      <w:r>
        <w:t xml:space="preserve"> event) whenever you want a fresh rendered set. The workflow will upload assets to whatever tag is currently active, the same way </w:t>
      </w:r>
      <w:r>
        <w:rPr>
          <w:rFonts w:ascii="Consolas" w:hAnsi="Consolas"/>
          <w:sz w:val="20"/>
          <w:shd w:val="clear" w:fill="E6F0FA"/>
        </w:rPr>
        <w:t xml:space="preserve">gh release upload</w:t>
      </w:r>
      <w:r>
        <w:t xml:space="preserve"> does in other workflows. No in-repo binary churn.</w:t>
      </w:r>
    </w:p>
    <w:p>
      <w:pPr>
        <w:ind w:left="720"/>
        <w:pBdr>
          <w:left w:val="single" w:sz="16" w:space="4" w:color="9A6700"/>
        </w:pBdr>
      </w:pPr>
    </w:p>
    <w:p>
      <w:pPr>
        <w:ind w:left="720"/>
        <w:pBdr>
          <w:left w:val="single" w:sz="16" w:space="4" w:color="9A6700"/>
        </w:pBdr>
      </w:pPr>
      <w:r>
        <w:t xml:space="preserve">If </w:t>
      </w:r>
      <w:r>
        <w:rPr>
          <w:rFonts w:ascii="Consolas" w:hAnsi="Consolas"/>
          <w:sz w:val="20"/>
          <w:shd w:val="clear" w:fill="E6F0FA"/>
        </w:rPr>
        <w:t xml:space="preserve">attach_to_release: true</w:t>
      </w:r>
      <w:r>
        <w:t xml:space="preserve"> is set in the settings but no release tag is active (no release exists and the workflow wasn't triggered by a release event), the workflow will </w:t>
      </w:r>
      <w:r>
        <w:rPr>
          <w:b/>
        </w:rPr>
        <w:t xml:space="preserve">error out with a clear message</w:t>
      </w:r>
      <w:r>
        <w:t xml:space="preserve">, while still committing any files that have </w:t>
      </w:r>
      <w:r>
        <w:rPr>
          <w:rFonts w:ascii="Consolas" w:hAnsi="Consolas"/>
          <w:sz w:val="20"/>
          <w:shd w:val="clear" w:fill="E6F0FA"/>
        </w:rPr>
        <w:t xml:space="preserve">commit_to_repo: true</w:t>
      </w:r>
      <w:r>
        <w:t xml:space="preserve"> — so you don't lose work.</w:t>
      </w:r>
    </w:p>
    <w:p>
      <w:pPr>
        <w:pStyle w:val="Heading3"/>
      </w:pPr>
      <w:bookmarkStart w:id="8211" w:name="2-configure-which-files-and-formats-to-generate"/>
      <w:bookmarkEnd w:id="8211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r>
        <w:rPr>
          <w:b/>
        </w:rPr>
        <w:t xml:space="preserve">Per-entry flags: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Key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Type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Default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What it does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input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rPr>
                <w:i/>
              </w:rPr>
              <w:t xml:space="preserve">required</w:t>
            </w:r>
          </w:p>
        </w:tc>
        <w:tc>
          <w:p>
            <w:r>
              <w:t xml:space="preserve">Path to the markdown file to convert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output_formats</w:t>
            </w:r>
          </w:p>
        </w:tc>
        <w:tc>
          <w:p>
            <w:r>
              <w:t xml:space="preserve">`["rtf"\</w:t>
            </w:r>
          </w:p>
        </w:tc>
        <w:tc>
          <w:p>
            <w:r>
              <w:t xml:space="preserve">"docx"\</w:t>
            </w:r>
          </w:p>
        </w:tc>
        <w:tc>
          <w:p>
            <w:r>
              <w:t xml:space="preserve">"txt"]`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enabled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true</w:t>
            </w:r>
          </w:p>
        </w:tc>
        <w:tc>
          <w:p>
            <w:r>
              <w:t xml:space="preserve">Set to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false</w:t>
            </w:r>
            <w:r>
              <w:t xml:space="preserve"> to </w:t>
            </w:r>
            <w:r>
              <w:rPr>
                <w:b/>
              </w:rPr>
              <w:t xml:space="preserve">skip this entry entirely</w:t>
            </w:r>
            <w:r>
              <w:t xml:space="preserve"> — useful for temporarily disabling an entry without deleting it, or for stubbing out a pointer to a file you haven't created yet.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attach_to_release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false</w:t>
            </w:r>
          </w:p>
        </w:tc>
        <w:tc>
          <w:p>
            <w:r>
              <w:t xml:space="preserve">Upload the generated files as assets on the active release tag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commit_to_repo</w:t>
            </w:r>
          </w:p>
        </w:tc>
        <w:tc>
          <w:p>
            <w:r>
              <w:t xml:space="preserve">bool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true</w:t>
            </w:r>
          </w:p>
        </w:tc>
        <w:tc>
          <w:p>
            <w:r>
              <w:t xml:space="preserve">Commit the generated files back into the repo (reserved for future wiring — currently the workflow always commits)</w:t>
            </w:r>
          </w:p>
        </w:tc>
      </w:tr>
    </w:tbl>
    <w:p>
      <w:r>
        <w:t xml:space="preserve">If an entry's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file doesn't exist and the entry is </w:t>
      </w:r>
      <w:r>
        <w:rPr>
          <w:rFonts w:ascii="Consolas" w:hAnsi="Consolas"/>
          <w:sz w:val="20"/>
          <w:shd w:val="clear" w:fill="E6F0FA"/>
        </w:rPr>
        <w:t xml:space="preserve">enabled</w:t>
      </w:r>
      <w:r>
        <w:t xml:space="preserve">, the workflow reports a clear error but </w:t>
      </w:r>
      <w:r>
        <w:rPr>
          <w:b/>
        </w:rPr>
        <w:t xml:space="preserve">continues processing the other entries</w:t>
      </w:r>
      <w:r>
        <w:t xml:space="preserve"> — successfully-converted files are still committed/uploaded.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7510" w:name="3-add-the-workflow"/>
      <w:bookmarkEnd w:id="7510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5699" w:name="4-push-and-done"/>
      <w:bookmarkEnd w:id="5699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3775" w:name="how-it-works"/>
      <w:bookmarkEnd w:id="3775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5046" w:name="dependencies"/>
      <w:bookmarkEnd w:id="5046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6097" w:name="run-locally"/>
      <w:bookmarkEnd w:id="6097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1457" w:name="architecture-at-a-glance"/>
      <w:bookmarkEnd w:id="1457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7111" w:name="1-parsing-read-it-line-by-line"/>
      <w:bookmarkEnd w:id="7111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243" w:name="2-the-conversion-table-strategy-pattern-expressed-as-data"/>
      <w:bookmarkEnd w:id="243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9971" w:name="3-post-cleanup-per-doc-type"/>
      <w:bookmarkEnd w:id="9971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convert_markdown_to_txt</w:t>
            </w:r>
            <w:r>
              <w:t xml:space="preserve"> rewrites relative links,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@mentions</w:t>
            </w:r>
            <w:r>
              <w:t xml:space="preserve">, and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refs to full GitHub URLs</w:t>
            </w:r>
          </w:p>
        </w:tc>
        <w:tc>
          <w:p>
            <w:r>
              <w:t xml:space="preserve">Plain text carries URLs as markdown links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&lt;w:r&gt;&lt;w:fldChar w:fldCharType="begin"/&gt;&lt;/w:r&gt;&lt;w:r&gt;&lt;w:instrText xml:space="preserve"&gt; HYPERLINK "url" &lt;/w:instrText&gt;&lt;/w:r&gt;&lt;w:r&gt;&lt;w:fldChar w:fldCharType="separate"/&gt;&lt;/w:r&gt;&lt;w:r&gt;&lt;w:rPr&gt;&lt;w:color w:val="365F91"/&gt;&lt;w:u w:val="single"/&gt;&lt;/w:rPr&gt;&lt;w:t xml:space="preserve"&gt;@name&lt;/w:t&gt;&lt;/w:r&gt;&lt;w:r&gt;&lt;w:fldChar w:fldCharType="end"/&gt;&lt;/w:r&gt;</w:t>
            </w:r>
            <w:r>
              <w:t xml:space="preserve">) so tokens stay human-readable and tool-reprocessable</w:t>
            </w:r>
          </w:p>
        </w:tc>
      </w:tr>
    </w:tbl>
    <w:p>
      <w:pPr>
        <w:pStyle w:val="Heading2"/>
      </w:pPr>
      <w:bookmarkStart w:id="1158" w:name="viewing-tips"/>
      <w:bookmarkEnd w:id="1158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3594" w:name="test_tube-test-content"/>
      <w:bookmarkEnd w:id="3594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3291" w:name="heading-level-2"/>
      <w:bookmarkEnd w:id="3291"/>
      <w:r>
        <w:t xml:space="preserve">Heading Level 2</w:t>
      </w:r>
    </w:p>
    <w:p>
      <w:pPr>
        <w:pStyle w:val="Heading3"/>
      </w:pPr>
      <w:bookmarkStart w:id="64" w:name="heading-level-3"/>
      <w:bookmarkEnd w:id="64"/>
      <w:r>
        <w:t xml:space="preserve">Heading Level 3</w:t>
      </w:r>
    </w:p>
    <w:p>
      <w:pPr>
        <w:pStyle w:val="Heading4"/>
      </w:pPr>
      <w:bookmarkStart w:id="6836" w:name="heading-level-4"/>
      <w:bookmarkEnd w:id="6836"/>
      <w:r>
        <w:t xml:space="preserve">Heading Level 4</w:t>
      </w:r>
    </w:p>
    <w:p>
      <w:pPr>
        <w:pStyle w:val="Heading5"/>
      </w:pPr>
      <w:bookmarkStart w:id="7348" w:name="heading-level-5"/>
      <w:bookmarkEnd w:id="7348"/>
      <w:r>
        <w:t xml:space="preserve">Heading Level 5</w:t>
      </w:r>
    </w:p>
    <w:p>
      <w:pPr>
        <w:pStyle w:val="Heading6"/>
      </w:pPr>
      <w:bookmarkStart w:id="1285" w:name="heading-level-6"/>
      <w:bookmarkEnd w:id="1285"/>
      <w:r>
        <w:t xml:space="preserve">Heading Level 6</w:t>
      </w:r>
    </w:p>
    <w:p>
      <w:pPr>
        <w:pStyle w:val="Heading2"/>
      </w:pPr>
      <w:bookmarkStart w:id="15" w:name="text-formatting"/>
      <w:bookmarkEnd w:id="15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7213" w:name="links"/>
      <w:bookmarkEnd w:id="7213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7866" w:name="images"/>
      <w:bookmarkEnd w:id="7866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8379" w:name="blockquotes"/>
      <w:bookmarkEnd w:id="8379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7309" w:name="alerts"/>
      <w:bookmarkEnd w:id="7309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5378" w:name="unordered-lists"/>
      <w:bookmarkEnd w:id="5378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3627" w:name="ordered-lists"/>
      <w:bookmarkEnd w:id="3627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2069" w:name="task-lists"/>
      <w:bookmarkEnd w:id="2069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3193" w:name="inline-code"/>
      <w:bookmarkEnd w:id="3193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3135" w:name="fenced-code-blocks"/>
      <w:bookmarkEnd w:id="3135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1809" w:name="tables"/>
      <w:bookmarkEnd w:id="1809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9305" w:name="horizontal-rules"/>
      <w:bookmarkEnd w:id="9305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7993" w:name="footnotes"/>
      <w:bookmarkEnd w:id="7993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3120" w:name="emoji"/>
      <w:bookmarkEnd w:id="3120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3008" w:name="color-codes"/>
      <w:bookmarkEnd w:id="3008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4458" w:name="html-comments"/>
      <w:bookmarkEnd w:id="4458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1588" w:name="mixed-nesting"/>
      <w:bookmarkEnd w:id="1588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9321" w:name="fn-1"/>
      <w:bookmarkEnd w:id="9321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1981" w:name="fn-longnote"/>
      <w:bookmarkEnd w:id="1981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