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473B" w14:textId="77777777" w:rsidR="00063C5B" w:rsidRPr="00063C5B" w:rsidRDefault="00063C5B" w:rsidP="00063C5B">
      <w:r w:rsidRPr="00063C5B">
        <w:t>Understood. I’ll treat this as the binding structure for Chapter 4.</w:t>
      </w:r>
    </w:p>
    <w:p w14:paraId="50C7802B" w14:textId="77777777" w:rsidR="00063C5B" w:rsidRPr="00063C5B" w:rsidRDefault="00063C5B" w:rsidP="00063C5B">
      <w:r w:rsidRPr="00063C5B">
        <w:t xml:space="preserve">A few rules are especially important going forward. Chapter 4 stays </w:t>
      </w:r>
      <w:r w:rsidRPr="00063C5B">
        <w:rPr>
          <w:b/>
          <w:bCs/>
        </w:rPr>
        <w:t>model-by-model</w:t>
      </w:r>
      <w:r w:rsidRPr="00063C5B">
        <w:t xml:space="preserve">, with no cross-model interpretation until Chapter 5. Within each model section, I’ll keep the same sequence: conditions/baseline → Diagnostic 1 → Diagnostic 2 → Diagnostic 3 → short model profile. Within each diagnostic, I’ll follow the six-part logic you specified: </w:t>
      </w:r>
      <w:r w:rsidRPr="00063C5B">
        <w:rPr>
          <w:b/>
          <w:bCs/>
        </w:rPr>
        <w:t>question → result with uncertainty → control → verdict → interpretation → limitation</w:t>
      </w:r>
      <w:r w:rsidRPr="00063C5B">
        <w:t>.</w:t>
      </w:r>
    </w:p>
    <w:p w14:paraId="108CD461" w14:textId="77777777" w:rsidR="00063C5B" w:rsidRPr="00063C5B" w:rsidRDefault="00063C5B" w:rsidP="00063C5B">
      <w:r w:rsidRPr="00063C5B">
        <w:t xml:space="preserve">I’ll also use the </w:t>
      </w:r>
      <w:r w:rsidRPr="00063C5B">
        <w:rPr>
          <w:b/>
          <w:bCs/>
        </w:rPr>
        <w:t>template numbering</w:t>
      </w:r>
      <w:r w:rsidRPr="00063C5B">
        <w:t xml:space="preserve">, not the older prose-file numbering. </w:t>
      </w:r>
      <w:proofErr w:type="gramStart"/>
      <w:r w:rsidRPr="00063C5B">
        <w:t>So</w:t>
      </w:r>
      <w:proofErr w:type="gramEnd"/>
      <w:r w:rsidRPr="00063C5B">
        <w:t xml:space="preserve"> for </w:t>
      </w:r>
      <w:proofErr w:type="spellStart"/>
      <w:r w:rsidRPr="00063C5B">
        <w:t>CLaSP</w:t>
      </w:r>
      <w:proofErr w:type="spellEnd"/>
      <w:r w:rsidRPr="00063C5B">
        <w:t>, for example, the mapping will be:</w:t>
      </w:r>
    </w:p>
    <w:p w14:paraId="05BC5027" w14:textId="77777777" w:rsidR="00063C5B" w:rsidRPr="00063C5B" w:rsidRDefault="00063C5B" w:rsidP="00063C5B">
      <w:pPr>
        <w:numPr>
          <w:ilvl w:val="0"/>
          <w:numId w:val="1"/>
        </w:numPr>
      </w:pPr>
      <w:r w:rsidRPr="00063C5B">
        <w:t>4.1.1 Conditions and baseline</w:t>
      </w:r>
    </w:p>
    <w:p w14:paraId="245BA383" w14:textId="77777777" w:rsidR="00063C5B" w:rsidRPr="00063C5B" w:rsidRDefault="00063C5B" w:rsidP="00063C5B">
      <w:pPr>
        <w:numPr>
          <w:ilvl w:val="0"/>
          <w:numId w:val="1"/>
        </w:numPr>
      </w:pPr>
      <w:r w:rsidRPr="00063C5B">
        <w:t>4.1.2 Diagnostic 1 — component sensitivity</w:t>
      </w:r>
    </w:p>
    <w:p w14:paraId="6A9CAD08" w14:textId="77777777" w:rsidR="00063C5B" w:rsidRPr="00063C5B" w:rsidRDefault="00063C5B" w:rsidP="00063C5B">
      <w:pPr>
        <w:numPr>
          <w:ilvl w:val="0"/>
          <w:numId w:val="1"/>
        </w:numPr>
      </w:pPr>
      <w:r w:rsidRPr="00063C5B">
        <w:t>4.1.3 Diagnostic 2 — temporal-order sensitivity</w:t>
      </w:r>
    </w:p>
    <w:p w14:paraId="17A700F2" w14:textId="77777777" w:rsidR="00063C5B" w:rsidRPr="00063C5B" w:rsidRDefault="00063C5B" w:rsidP="00063C5B">
      <w:pPr>
        <w:numPr>
          <w:ilvl w:val="0"/>
          <w:numId w:val="1"/>
        </w:numPr>
      </w:pPr>
      <w:r w:rsidRPr="00063C5B">
        <w:t>4.1.4 Diagnostic 3 — statistical-information sufficiency</w:t>
      </w:r>
    </w:p>
    <w:p w14:paraId="7CDC131C" w14:textId="77777777" w:rsidR="00063C5B" w:rsidRPr="00063C5B" w:rsidRDefault="00063C5B" w:rsidP="00063C5B">
      <w:pPr>
        <w:numPr>
          <w:ilvl w:val="0"/>
          <w:numId w:val="1"/>
        </w:numPr>
      </w:pPr>
      <w:r w:rsidRPr="00063C5B">
        <w:t xml:space="preserve">4.1.5 </w:t>
      </w:r>
      <w:proofErr w:type="spellStart"/>
      <w:r w:rsidRPr="00063C5B">
        <w:t>CLaSP</w:t>
      </w:r>
      <w:proofErr w:type="spellEnd"/>
      <w:r w:rsidRPr="00063C5B">
        <w:t xml:space="preserve"> profile</w:t>
      </w:r>
    </w:p>
    <w:p w14:paraId="21D61927" w14:textId="77777777" w:rsidR="00063C5B" w:rsidRPr="00063C5B" w:rsidRDefault="00063C5B" w:rsidP="00063C5B">
      <w:r w:rsidRPr="00063C5B">
        <w:t>The Chapter 3 definitions are now binding for Chapter 4. In particular, I’ll preserve these rules:</w:t>
      </w:r>
    </w:p>
    <w:p w14:paraId="2D8FA9F0" w14:textId="77777777" w:rsidR="00063C5B" w:rsidRPr="00063C5B" w:rsidRDefault="00063C5B" w:rsidP="00063C5B">
      <w:pPr>
        <w:numPr>
          <w:ilvl w:val="0"/>
          <w:numId w:val="2"/>
        </w:numPr>
      </w:pPr>
      <w:r w:rsidRPr="00063C5B">
        <w:rPr>
          <w:b/>
          <w:bCs/>
        </w:rPr>
        <w:t>Diagnostic 1:</w:t>
      </w:r>
      <w:r w:rsidRPr="00063C5B">
        <w:t xml:space="preserve"> first establish statistically supported and replicated swap-versus-random degradation; then use the 0.60 convention to distinguish </w:t>
      </w:r>
      <w:r w:rsidRPr="00063C5B">
        <w:rPr>
          <w:b/>
          <w:bCs/>
        </w:rPr>
        <w:t>collapse</w:t>
      </w:r>
      <w:r w:rsidRPr="00063C5B">
        <w:t xml:space="preserve"> from </w:t>
      </w:r>
      <w:r w:rsidRPr="00063C5B">
        <w:rPr>
          <w:b/>
          <w:bCs/>
        </w:rPr>
        <w:t>partial</w:t>
      </w:r>
      <w:r w:rsidRPr="00063C5B">
        <w:t>.</w:t>
      </w:r>
    </w:p>
    <w:p w14:paraId="7B771B93" w14:textId="77777777" w:rsidR="00063C5B" w:rsidRPr="00063C5B" w:rsidRDefault="00063C5B" w:rsidP="00063C5B">
      <w:pPr>
        <w:numPr>
          <w:ilvl w:val="0"/>
          <w:numId w:val="2"/>
        </w:numPr>
      </w:pPr>
      <w:r w:rsidRPr="00063C5B">
        <w:rPr>
          <w:b/>
          <w:bCs/>
        </w:rPr>
        <w:t>Diagnostic 2:</w:t>
      </w:r>
      <w:r w:rsidRPr="00063C5B">
        <w:t xml:space="preserve"> report the perturbation profile, </w:t>
      </w:r>
      <w:proofErr w:type="spellStart"/>
      <w:proofErr w:type="gramStart"/>
      <w:r w:rsidRPr="00063C5B">
        <w:t>DiD</w:t>
      </w:r>
      <w:proofErr w:type="spellEnd"/>
      <w:proofErr w:type="gramEnd"/>
      <w:r w:rsidRPr="00063C5B">
        <w:t xml:space="preserve"> where valid, constituent group changes, and equivalence outcomes. Do not force D1/D3 verdict words onto it.</w:t>
      </w:r>
    </w:p>
    <w:p w14:paraId="2369C9DE" w14:textId="77777777" w:rsidR="00063C5B" w:rsidRPr="00063C5B" w:rsidRDefault="00063C5B" w:rsidP="00063C5B">
      <w:pPr>
        <w:numPr>
          <w:ilvl w:val="0"/>
          <w:numId w:val="2"/>
        </w:numPr>
      </w:pPr>
      <w:r w:rsidRPr="00063C5B">
        <w:rPr>
          <w:b/>
          <w:bCs/>
        </w:rPr>
        <w:t>Diagnostic 3:</w:t>
      </w:r>
      <w:r w:rsidRPr="00063C5B">
        <w:t xml:space="preserve"> use </w:t>
      </w:r>
      <w:r w:rsidRPr="00063C5B">
        <w:rPr>
          <w:b/>
          <w:bCs/>
        </w:rPr>
        <w:t>shortcut present / no shortcut detected</w:t>
      </w:r>
      <w:r w:rsidRPr="00063C5B">
        <w:t>, with “no shortcut detected” bounded strictly to the tested reductions.</w:t>
      </w:r>
    </w:p>
    <w:p w14:paraId="2C72200B" w14:textId="77777777" w:rsidR="00063C5B" w:rsidRPr="00063C5B" w:rsidRDefault="00063C5B" w:rsidP="00063C5B">
      <w:pPr>
        <w:numPr>
          <w:ilvl w:val="0"/>
          <w:numId w:val="2"/>
        </w:numPr>
      </w:pPr>
      <w:r w:rsidRPr="00063C5B">
        <w:rPr>
          <w:b/>
          <w:bCs/>
        </w:rPr>
        <w:t>VOID / weakly viable / viable</w:t>
      </w:r>
      <w:r w:rsidRPr="00063C5B">
        <w:t xml:space="preserve"> are capability statuses established before interpretation.</w:t>
      </w:r>
    </w:p>
    <w:p w14:paraId="31440A08" w14:textId="77777777" w:rsidR="00063C5B" w:rsidRPr="00063C5B" w:rsidRDefault="00063C5B" w:rsidP="00063C5B">
      <w:pPr>
        <w:numPr>
          <w:ilvl w:val="0"/>
          <w:numId w:val="2"/>
        </w:numPr>
      </w:pPr>
      <w:r w:rsidRPr="00063C5B">
        <w:t xml:space="preserve">Thin cells always carry their </w:t>
      </w:r>
      <w:proofErr w:type="spellStart"/>
      <w:r w:rsidRPr="00063C5B">
        <w:t>nn</w:t>
      </w:r>
      <w:proofErr w:type="spellEnd"/>
      <w:r w:rsidRPr="00063C5B">
        <w:t xml:space="preserve"> and cannot support a verdict alone.</w:t>
      </w:r>
    </w:p>
    <w:p w14:paraId="1A41AC0D" w14:textId="77777777" w:rsidR="00063C5B" w:rsidRPr="00063C5B" w:rsidRDefault="00063C5B" w:rsidP="00063C5B">
      <w:pPr>
        <w:numPr>
          <w:ilvl w:val="0"/>
          <w:numId w:val="2"/>
        </w:numPr>
      </w:pPr>
      <w:r w:rsidRPr="00063C5B">
        <w:t>Pooled values do not override contradictory strata.</w:t>
      </w:r>
    </w:p>
    <w:p w14:paraId="64722BB6" w14:textId="77777777" w:rsidR="00063C5B" w:rsidRPr="00063C5B" w:rsidRDefault="00063C5B" w:rsidP="00063C5B">
      <w:pPr>
        <w:numPr>
          <w:ilvl w:val="0"/>
          <w:numId w:val="2"/>
        </w:numPr>
      </w:pPr>
      <w:r w:rsidRPr="00063C5B">
        <w:t xml:space="preserve">Chapter 4 should distinguish </w:t>
      </w:r>
      <w:r w:rsidRPr="00063C5B">
        <w:rPr>
          <w:b/>
          <w:bCs/>
        </w:rPr>
        <w:t>observed result</w:t>
      </w:r>
      <w:r w:rsidRPr="00063C5B">
        <w:t xml:space="preserve"> from </w:t>
      </w:r>
      <w:r w:rsidRPr="00063C5B">
        <w:rPr>
          <w:b/>
          <w:bCs/>
        </w:rPr>
        <w:t>interpretation</w:t>
      </w:r>
      <w:r w:rsidRPr="00063C5B">
        <w:t xml:space="preserve"> and then state the limitation explicitly.</w:t>
      </w:r>
    </w:p>
    <w:p w14:paraId="0B03DFC7" w14:textId="77777777" w:rsidR="00063C5B" w:rsidRPr="00063C5B" w:rsidRDefault="00063C5B" w:rsidP="00063C5B">
      <w:pPr>
        <w:numPr>
          <w:ilvl w:val="0"/>
          <w:numId w:val="2"/>
        </w:numPr>
      </w:pPr>
      <w:r w:rsidRPr="00063C5B">
        <w:t>No result should be described as proving genuine understanding or identifying an internal mechanism.</w:t>
      </w:r>
    </w:p>
    <w:p w14:paraId="2EAC9608" w14:textId="77777777" w:rsidR="00063C5B" w:rsidRPr="00063C5B" w:rsidRDefault="00063C5B" w:rsidP="00063C5B">
      <w:r w:rsidRPr="00063C5B">
        <w:t xml:space="preserve">For the four model sections, I’ll also preserve the special constraints you listed: </w:t>
      </w:r>
      <w:proofErr w:type="spellStart"/>
      <w:r w:rsidRPr="00063C5B">
        <w:t>CLaSP</w:t>
      </w:r>
      <w:proofErr w:type="spellEnd"/>
      <w:r w:rsidRPr="00063C5B">
        <w:t xml:space="preserve"> gets the fullest treatment and the certified C4 result; TRACE begins with the substrate/</w:t>
      </w:r>
      <w:proofErr w:type="spellStart"/>
      <w:r w:rsidRPr="00063C5B">
        <w:t>downsampling</w:t>
      </w:r>
      <w:proofErr w:type="spellEnd"/>
      <w:r w:rsidRPr="00063C5B">
        <w:t xml:space="preserve"> limitation and keeps N5 separate; </w:t>
      </w:r>
      <w:proofErr w:type="spellStart"/>
      <w:r w:rsidRPr="00063C5B">
        <w:t>ChatTS</w:t>
      </w:r>
      <w:proofErr w:type="spellEnd"/>
      <w:r w:rsidRPr="00063C5B">
        <w:t xml:space="preserve"> begins with its conditionality/headroom banner and retains the C2 no-census limitation; and the negative-control section must include the </w:t>
      </w:r>
      <w:proofErr w:type="spellStart"/>
      <w:r w:rsidRPr="00063C5B">
        <w:t>DiD</w:t>
      </w:r>
      <w:proofErr w:type="spellEnd"/>
      <w:r w:rsidRPr="00063C5B">
        <w:t>-</w:t>
      </w:r>
      <w:r w:rsidRPr="00063C5B">
        <w:lastRenderedPageBreak/>
        <w:t xml:space="preserve">mimicry result because it changes how the real-model </w:t>
      </w:r>
      <w:proofErr w:type="spellStart"/>
      <w:r w:rsidRPr="00063C5B">
        <w:t>DiDs</w:t>
      </w:r>
      <w:proofErr w:type="spellEnd"/>
      <w:r w:rsidRPr="00063C5B">
        <w:t xml:space="preserve"> are interpreted.</w:t>
      </w:r>
    </w:p>
    <w:p w14:paraId="2E048859" w14:textId="77777777" w:rsidR="00063C5B" w:rsidRPr="00063C5B" w:rsidRDefault="00063C5B" w:rsidP="00063C5B">
      <w:r w:rsidRPr="00063C5B">
        <w:t xml:space="preserve">One point I’ll watch closely when drafting 4.1 is the </w:t>
      </w:r>
      <w:r w:rsidRPr="00063C5B">
        <w:rPr>
          <w:b/>
          <w:bCs/>
        </w:rPr>
        <w:t>46/50 versus 48/50 judging-convention disclosure</w:t>
      </w:r>
      <w:r w:rsidRPr="00063C5B">
        <w:t>. We should place it either in 4.1.2 if it materially affects how the C4 certification is read, or move the procedural detail to Appendix A while leaving a concise disclosure in the results text.</w:t>
      </w:r>
    </w:p>
    <w:p w14:paraId="7EEF9732" w14:textId="77777777" w:rsidR="00063C5B" w:rsidRPr="00063C5B" w:rsidRDefault="00063C5B" w:rsidP="00063C5B">
      <w:r w:rsidRPr="00063C5B">
        <w:t xml:space="preserve">With this structure fixed, the natural next piece is </w:t>
      </w:r>
      <w:r w:rsidRPr="00063C5B">
        <w:rPr>
          <w:b/>
          <w:bCs/>
        </w:rPr>
        <w:t xml:space="preserve">4.1.1 </w:t>
      </w:r>
      <w:proofErr w:type="spellStart"/>
      <w:r w:rsidRPr="00063C5B">
        <w:rPr>
          <w:b/>
          <w:bCs/>
        </w:rPr>
        <w:t>CLaSP</w:t>
      </w:r>
      <w:proofErr w:type="spellEnd"/>
      <w:r w:rsidRPr="00063C5B">
        <w:rPr>
          <w:b/>
          <w:bCs/>
        </w:rPr>
        <w:t xml:space="preserve"> — conditions and baseline</w:t>
      </w:r>
      <w:r w:rsidRPr="00063C5B">
        <w:t>.</w:t>
      </w:r>
    </w:p>
    <w:p w14:paraId="382A1224" w14:textId="77777777" w:rsidR="007F2B3C" w:rsidRPr="00063C5B" w:rsidRDefault="007F2B3C"/>
    <w:sectPr w:rsidR="007F2B3C" w:rsidRPr="00063C5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32B1E"/>
    <w:multiLevelType w:val="multilevel"/>
    <w:tmpl w:val="AB2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E42F0"/>
    <w:multiLevelType w:val="multilevel"/>
    <w:tmpl w:val="8488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063109">
    <w:abstractNumId w:val="1"/>
  </w:num>
  <w:num w:numId="2" w16cid:durableId="78762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3C"/>
    <w:rsid w:val="00063C5B"/>
    <w:rsid w:val="003568B8"/>
    <w:rsid w:val="007F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A02B"/>
  <w15:chartTrackingRefBased/>
  <w15:docId w15:val="{D9F54033-BCBA-4CD3-8A60-C5E43E558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2B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B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B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B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B3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B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B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B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B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B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B3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2B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B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B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B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B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B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B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B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B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B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B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2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Ranee</dc:creator>
  <cp:keywords/>
  <dc:description/>
  <cp:lastModifiedBy>Luo, Ranee</cp:lastModifiedBy>
  <cp:revision>2</cp:revision>
  <dcterms:created xsi:type="dcterms:W3CDTF">2026-09-06T15:26:00Z</dcterms:created>
  <dcterms:modified xsi:type="dcterms:W3CDTF">2026-09-06T15:27:00Z</dcterms:modified>
</cp:coreProperties>
</file>