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6DBB" w14:textId="77777777" w:rsidR="00042072" w:rsidRPr="00042072" w:rsidRDefault="00042072" w:rsidP="00042072">
      <w:pPr>
        <w:rPr>
          <w:b/>
          <w:bCs/>
        </w:rPr>
      </w:pPr>
      <w:r w:rsidRPr="00042072">
        <w:rPr>
          <w:b/>
          <w:bCs/>
        </w:rPr>
        <w:t>4.2.1 Conditions, baseline and substrate restrictions</w:t>
      </w:r>
    </w:p>
    <w:p w14:paraId="03026632" w14:textId="77777777" w:rsidR="00042072" w:rsidRPr="00042072" w:rsidRDefault="00042072" w:rsidP="00042072">
      <w:r w:rsidRPr="00042072">
        <w:t xml:space="preserve">TRACE is evaluated using the </w:t>
      </w:r>
      <w:proofErr w:type="gramStart"/>
      <w:r w:rsidRPr="00042072">
        <w:t>authors'</w:t>
      </w:r>
      <w:proofErr w:type="gramEnd"/>
      <w:r w:rsidRPr="00042072">
        <w:t xml:space="preserve"> released checkpoint through the repaired reproduction pipeline described in Section 2.4. The stored checkpoint configuration confirms that hard-negative mining was enabled with 32 negatives. Its evaluation uses the released NOAA test split of 2,006 rows. Each input contains seven weather channels and at most </w:t>
      </w:r>
      <w:proofErr w:type="gramStart"/>
      <w:r w:rsidRPr="00042072">
        <w:t>186 time</w:t>
      </w:r>
      <w:proofErr w:type="gramEnd"/>
      <w:r w:rsidRPr="00042072">
        <w:t xml:space="preserve"> steps per channel. The retrieved descriptions follow the construction used in the released code and consist largely of generated channel-level prose rather than human-written narratives.</w:t>
      </w:r>
    </w:p>
    <w:p w14:paraId="0E1735AD" w14:textId="77777777" w:rsidR="00042072" w:rsidRPr="00042072" w:rsidRDefault="00042072" w:rsidP="00042072">
      <w:r w:rsidRPr="00042072">
        <w:t>The released evaluation protocol applies a random 30% input mask at inference time. To account for this stochasticity, all TRACE experiments are repeated with mask seeds 13, 14, and 15, and each seed is compared with its own frozen unperturbed result. For Diagnostics 2 and 3, the inference population consists of the 2,005 descriptions classified as order-dependent, as explained below. In the primary description-to-series direction, unperturbed MRR on these queries is 0.564, 0.552, and 0.554 across the three seeds, corresponding to a mean of 0.556 ± 0.007. Recall@10 is approximately 0.78 and the median rank is 2 in every seed. For comparison, chance MRR in the 2,006-item retrieval pool is approximately 0.004 and chance top-1 retrieval is approximately 0.0005. Under the capability framework of Section 3.7, TRACE is therefore viable on this substrate: its unperturbed retrieval is clearly above the pool's chance level and provides performance that the diagnostics can meaningfully perturb.</w:t>
      </w:r>
    </w:p>
    <w:p w14:paraId="2B72F974" w14:textId="77777777" w:rsidR="00042072" w:rsidRPr="00042072" w:rsidRDefault="00042072" w:rsidP="00042072">
      <w:r w:rsidRPr="00042072">
        <w:t xml:space="preserve">A model-specific adaptation was nevertheless required for Diagnostic 1. The SUSHI component items could not be transferred directly to TRACE because TRACE accepts at most </w:t>
      </w:r>
      <w:proofErr w:type="gramStart"/>
      <w:r w:rsidRPr="00042072">
        <w:t>186 time</w:t>
      </w:r>
      <w:proofErr w:type="gramEnd"/>
      <w:r w:rsidRPr="00042072">
        <w:t xml:space="preserve"> steps, whereas the SUSHI signals contain 2,048 points. Section 3.4 therefore defined a pre-registered gate to test whether the information required for the component distinctions remained available after downsampling. The gate failed for fluctuation type. Mean feature separability for this component fell from 0.929 on the original signals to 0.773 after interpolation to 186 points, below the pre-specified pass requirement of 0.85. The reduction was concentrated in distinctions between spike polarities: negative versus positive spike fell to 0.525, negative versus positive-and-negative spike to 0.570, and positive versus positive-and-negative spike to 0.573. By contrast, distinctions involving the noisy class remained at 0.92–0.95, and the other global-shape components remained at 0.93–0.99 after downsampling. The result was similar with two alternative procedures, for which fluctuation separability was 0.784 under decimation and 0.786 under fixed-window interpolation. This pattern is consistent with narrow spike information being attenuated by the approximately eleven-fold compression, but it does not establish a limitation of TRACE itself. Two registered predictions missed at this gate: fluctuation information had been expected to survive the adaptation, and decimation had been expected to perform worse than interpolation.</w:t>
      </w:r>
    </w:p>
    <w:p w14:paraId="74D8AC2E" w14:textId="77777777" w:rsidR="00042072" w:rsidRPr="00042072" w:rsidRDefault="00042072" w:rsidP="00042072">
      <w:r w:rsidRPr="00042072">
        <w:t xml:space="preserve">An independent restriction appeared on the text side. In TRACE's retrieved descriptions, </w:t>
      </w:r>
      <w:r w:rsidRPr="00042072">
        <w:lastRenderedPageBreak/>
        <w:t xml:space="preserve">fluctuation claims are usually accompanied by supporting information such as value ranges or specific readings. Replacing only a term such as </w:t>
      </w:r>
      <w:r w:rsidRPr="00042072">
        <w:rPr>
          <w:i/>
          <w:iCs/>
        </w:rPr>
        <w:t>fluctuating</w:t>
      </w:r>
      <w:r w:rsidRPr="00042072">
        <w:t xml:space="preserve"> with </w:t>
      </w:r>
      <w:r w:rsidRPr="00042072">
        <w:rPr>
          <w:i/>
          <w:iCs/>
        </w:rPr>
        <w:t>stable</w:t>
      </w:r>
      <w:r w:rsidRPr="00042072">
        <w:t xml:space="preserve"> can therefore leave other parts of the description inconsistent with the proposed swap. After descriptions containing such evidence were excluded, only 33 of the 2,006 test descriptions admitted the required clean construction, below the pre-committed minimum of 100. The planned fluctuation component, N4, was therefore dropped. The absence of a fluctuation result later in this section should consequently be read as a limitation of the available diagnostic construction: the required test failed independently on the signal side and on the description side. It does not show that TRACE lacks the corresponding capability.</w:t>
      </w:r>
    </w:p>
    <w:p w14:paraId="37526722" w14:textId="77777777" w:rsidR="00042072" w:rsidRPr="00042072" w:rsidRDefault="00042072" w:rsidP="00042072">
      <w:r w:rsidRPr="00042072">
        <w:t>Diagnostic 1 therefore uses a component grammar constructed from TRACE's own retrieved descriptions. N1 changes condition labels through antonym substitutions, N2 changes the stated temporal extent, N3 reverses trend direction in the temperature description, and N5 changes station location. The certified runner input contains 3,178 forced-choice items. N1, N2, and N5 each contribute 400 swap items and 400 matched random-control items. N3 contributes 389 swap items and 389 matched controls after 11 defective swaps and their matched controls were removed before the run. A subsequent full human census reduces the final quotable N3 set to 344 pairs; that certification is reported with the N3 result in Section 4.2.2.1. N5 was included under the registered expectation that a location swap should not be discriminable from the time series. The outcome of that expectation is reported separately in Section 4.2.2.2.</w:t>
      </w:r>
    </w:p>
    <w:p w14:paraId="6F4B5818" w14:textId="77777777" w:rsidR="00042072" w:rsidRPr="00042072" w:rsidRDefault="00042072" w:rsidP="00042072">
      <w:r w:rsidRPr="00042072">
        <w:t>The diagnostics use different reference conditions. Diagnostic 1 is a binary forced choice between the correct description and either a single-component swap or a matched random distractor, with chance accuracy of 0.5. Random-distractor accuracy ranges from 0.990 to 1.000 for every evaluated component in every seed, so none of these components is VOID. Diagnostics 2 and 3 instead measure changes in retrieval rank relative to the frozen unperturbed 2,006-item candidate pool. Description-to-series retrieval is the primary direction, with series-to-description reported as secondary.</w:t>
      </w:r>
    </w:p>
    <w:p w14:paraId="387F7B45" w14:textId="77777777" w:rsidR="00042072" w:rsidRPr="00042072" w:rsidRDefault="00042072" w:rsidP="00042072">
      <w:r w:rsidRPr="00042072">
        <w:t xml:space="preserve">The description corpus further constrains how Diagnostic 2 can be interpreted. The order-content census classifies 2,005 of the 2,006 descriptions as order-dependent, none as order-invariant, and the remaining row as ambiguous; 1,878 descriptions contain the literal word </w:t>
      </w:r>
      <w:r w:rsidRPr="00042072">
        <w:rPr>
          <w:i/>
          <w:iCs/>
        </w:rPr>
        <w:t>trend</w:t>
      </w:r>
      <w:r w:rsidRPr="00042072">
        <w:t>. The 2,005 order-dependent descriptions therefore form the inference population for Diagnostics 2 and 3, while the remaining constant-series row is descriptive only. Because there is no order-invariant comparison group, TRACE cannot support a dependent-versus-invariant difference-in-differences analysis. Section 4.2.3 therefore reports its perturbation profile directly.</w:t>
      </w:r>
    </w:p>
    <w:p w14:paraId="0DA8C4EF" w14:textId="77777777" w:rsidR="00042072" w:rsidRPr="00042072" w:rsidRDefault="00042072" w:rsidP="00042072">
      <w:r w:rsidRPr="00042072">
        <w:t xml:space="preserve">For TRACE-specific perturbations, Diagnostic 2 applies sf_all, sf_half, and ex_half jointly across </w:t>
      </w:r>
      <w:r w:rsidRPr="00042072">
        <w:lastRenderedPageBreak/>
        <w:t xml:space="preserve">the seven channels within each series' valid block. Its additional masking condition masks </w:t>
      </w:r>
      <w:proofErr w:type="gramStart"/>
      <w:r w:rsidRPr="00042072">
        <w:t>int(</w:t>
      </w:r>
      <w:proofErr w:type="gramEnd"/>
      <w:r w:rsidRPr="00042072">
        <w:t>0.2·V) valid positions on top of the standing 30% protocol mask and is reported as 0.3 + 0.2. Diagnostic 3 uses a joint-index resampling condition and a per-channel matched-Gaussian condition, followed by per-channel re-standardisation; its shuffled condition reuses the committed sf_all outputs from Diagnostic 2. Channels with no variation, 498 in the test pool, pass through these surrogate constructions unchanged and serve as identity checks.</w:t>
      </w:r>
    </w:p>
    <w:p w14:paraId="72898D73" w14:textId="0335DD83" w:rsidR="003C53C7" w:rsidRPr="00042072" w:rsidRDefault="00042072">
      <w:pPr>
        <w:rPr>
          <w:rFonts w:hint="eastAsia"/>
        </w:rPr>
      </w:pPr>
      <w:r w:rsidRPr="00042072">
        <w:t>Finally, each diagnostic runner was required to reproduce its frozen reference before any perturbed result was interpreted. The unperturbed top-1 hit count was reproduced exactly in every seed: 884, 859, and 863 correct of 2,006 for seeds 13, 14, and 15. The Diagnostic-3 runner also reproduced the Diagnostic-2 unperturbed ranks identically for all 4,012 query-direction records in every seed. All TRACE results reported in this section are computed from the committed canonical result files; the corresponding file inventory and reproduction procedure are provided in Appendix D.</w:t>
      </w:r>
    </w:p>
    <w:sectPr w:rsidR="003C53C7" w:rsidRPr="0004207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C7"/>
    <w:rsid w:val="00042072"/>
    <w:rsid w:val="003C53C7"/>
    <w:rsid w:val="00BB0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02E6"/>
  <w15:chartTrackingRefBased/>
  <w15:docId w15:val="{5BEA0898-C5C8-45A7-99A5-DEF412E4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53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C53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C53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C53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C53C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C53C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C53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53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53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53C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C53C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C53C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C53C7"/>
    <w:rPr>
      <w:rFonts w:cstheme="majorBidi"/>
      <w:color w:val="2F5496" w:themeColor="accent1" w:themeShade="BF"/>
      <w:sz w:val="28"/>
      <w:szCs w:val="28"/>
    </w:rPr>
  </w:style>
  <w:style w:type="character" w:customStyle="1" w:styleId="50">
    <w:name w:val="标题 5 字符"/>
    <w:basedOn w:val="a0"/>
    <w:link w:val="5"/>
    <w:uiPriority w:val="9"/>
    <w:semiHidden/>
    <w:rsid w:val="003C53C7"/>
    <w:rPr>
      <w:rFonts w:cstheme="majorBidi"/>
      <w:color w:val="2F5496" w:themeColor="accent1" w:themeShade="BF"/>
      <w:sz w:val="24"/>
    </w:rPr>
  </w:style>
  <w:style w:type="character" w:customStyle="1" w:styleId="60">
    <w:name w:val="标题 6 字符"/>
    <w:basedOn w:val="a0"/>
    <w:link w:val="6"/>
    <w:uiPriority w:val="9"/>
    <w:semiHidden/>
    <w:rsid w:val="003C53C7"/>
    <w:rPr>
      <w:rFonts w:cstheme="majorBidi"/>
      <w:b/>
      <w:bCs/>
      <w:color w:val="2F5496" w:themeColor="accent1" w:themeShade="BF"/>
    </w:rPr>
  </w:style>
  <w:style w:type="character" w:customStyle="1" w:styleId="70">
    <w:name w:val="标题 7 字符"/>
    <w:basedOn w:val="a0"/>
    <w:link w:val="7"/>
    <w:uiPriority w:val="9"/>
    <w:semiHidden/>
    <w:rsid w:val="003C53C7"/>
    <w:rPr>
      <w:rFonts w:cstheme="majorBidi"/>
      <w:b/>
      <w:bCs/>
      <w:color w:val="595959" w:themeColor="text1" w:themeTint="A6"/>
    </w:rPr>
  </w:style>
  <w:style w:type="character" w:customStyle="1" w:styleId="80">
    <w:name w:val="标题 8 字符"/>
    <w:basedOn w:val="a0"/>
    <w:link w:val="8"/>
    <w:uiPriority w:val="9"/>
    <w:semiHidden/>
    <w:rsid w:val="003C53C7"/>
    <w:rPr>
      <w:rFonts w:cstheme="majorBidi"/>
      <w:color w:val="595959" w:themeColor="text1" w:themeTint="A6"/>
    </w:rPr>
  </w:style>
  <w:style w:type="character" w:customStyle="1" w:styleId="90">
    <w:name w:val="标题 9 字符"/>
    <w:basedOn w:val="a0"/>
    <w:link w:val="9"/>
    <w:uiPriority w:val="9"/>
    <w:semiHidden/>
    <w:rsid w:val="003C53C7"/>
    <w:rPr>
      <w:rFonts w:eastAsiaTheme="majorEastAsia" w:cstheme="majorBidi"/>
      <w:color w:val="595959" w:themeColor="text1" w:themeTint="A6"/>
    </w:rPr>
  </w:style>
  <w:style w:type="paragraph" w:styleId="a3">
    <w:name w:val="Title"/>
    <w:basedOn w:val="a"/>
    <w:next w:val="a"/>
    <w:link w:val="a4"/>
    <w:uiPriority w:val="10"/>
    <w:qFormat/>
    <w:rsid w:val="003C53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53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53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53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53C7"/>
    <w:pPr>
      <w:spacing w:before="160"/>
      <w:jc w:val="center"/>
    </w:pPr>
    <w:rPr>
      <w:i/>
      <w:iCs/>
      <w:color w:val="404040" w:themeColor="text1" w:themeTint="BF"/>
    </w:rPr>
  </w:style>
  <w:style w:type="character" w:customStyle="1" w:styleId="a8">
    <w:name w:val="引用 字符"/>
    <w:basedOn w:val="a0"/>
    <w:link w:val="a7"/>
    <w:uiPriority w:val="29"/>
    <w:rsid w:val="003C53C7"/>
    <w:rPr>
      <w:i/>
      <w:iCs/>
      <w:color w:val="404040" w:themeColor="text1" w:themeTint="BF"/>
    </w:rPr>
  </w:style>
  <w:style w:type="paragraph" w:styleId="a9">
    <w:name w:val="List Paragraph"/>
    <w:basedOn w:val="a"/>
    <w:uiPriority w:val="34"/>
    <w:qFormat/>
    <w:rsid w:val="003C53C7"/>
    <w:pPr>
      <w:ind w:left="720"/>
      <w:contextualSpacing/>
    </w:pPr>
  </w:style>
  <w:style w:type="character" w:styleId="aa">
    <w:name w:val="Intense Emphasis"/>
    <w:basedOn w:val="a0"/>
    <w:uiPriority w:val="21"/>
    <w:qFormat/>
    <w:rsid w:val="003C53C7"/>
    <w:rPr>
      <w:i/>
      <w:iCs/>
      <w:color w:val="2F5496" w:themeColor="accent1" w:themeShade="BF"/>
    </w:rPr>
  </w:style>
  <w:style w:type="paragraph" w:styleId="ab">
    <w:name w:val="Intense Quote"/>
    <w:basedOn w:val="a"/>
    <w:next w:val="a"/>
    <w:link w:val="ac"/>
    <w:uiPriority w:val="30"/>
    <w:qFormat/>
    <w:rsid w:val="003C5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C53C7"/>
    <w:rPr>
      <w:i/>
      <w:iCs/>
      <w:color w:val="2F5496" w:themeColor="accent1" w:themeShade="BF"/>
    </w:rPr>
  </w:style>
  <w:style w:type="character" w:styleId="ad">
    <w:name w:val="Intense Reference"/>
    <w:basedOn w:val="a0"/>
    <w:uiPriority w:val="32"/>
    <w:qFormat/>
    <w:rsid w:val="003C5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2026-09-07T16:39:00Z</dcterms:created>
  <dcterms:modified xsi:type="dcterms:W3CDTF">2026-09-07T16:39:00Z</dcterms:modified>
</cp:coreProperties>
</file>