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7F48D" w14:textId="77777777" w:rsidR="004B5254" w:rsidRPr="004B5254" w:rsidRDefault="004B5254" w:rsidP="004B5254">
      <w:pPr>
        <w:rPr>
          <w:b/>
          <w:bCs/>
        </w:rPr>
      </w:pPr>
      <w:r w:rsidRPr="004B5254">
        <w:rPr>
          <w:b/>
          <w:bCs/>
        </w:rPr>
        <w:t>4.2.2.1 Narrative component results</w:t>
      </w:r>
    </w:p>
    <w:p w14:paraId="6C8DBF6E" w14:textId="77777777" w:rsidR="004B5254" w:rsidRPr="004B5254" w:rsidRDefault="004B5254" w:rsidP="004B5254">
      <w:r w:rsidRPr="004B5254">
        <w:t>Diagnostic 1 tests whether TRACE notices when one part of a correct description is replaced while the rest of the description is kept unchanged. For each item, the model receives one seven-channel time series and chooses between two candidate descriptions. In the swap condition, the incorrect alternative differs from the correct description in exactly one narrative component. In the matched random-control condition, the alternative is taken from a different test row. Chance accuracy is 0.5. Results are computed separately for mask seeds 13, 14, and 15; statistical tests are performed within each seed, with Holm correction across components, and agreement across the three seeds provides the replication check.</w:t>
      </w:r>
    </w:p>
    <w:p w14:paraId="14F5C2B2" w14:textId="77777777" w:rsidR="004B5254" w:rsidRPr="004B5254" w:rsidRDefault="004B5254" w:rsidP="004B5254">
      <w:r w:rsidRPr="004B5254">
        <w:t>Table 4.X reports the certified results for the three components considered in this subsection. N5 station location is reported separately in Section 4.2.2.2 because its registered expectation requires a separate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259"/>
        <w:gridCol w:w="1146"/>
        <w:gridCol w:w="1070"/>
        <w:gridCol w:w="1811"/>
        <w:gridCol w:w="1534"/>
        <w:gridCol w:w="788"/>
      </w:tblGrid>
      <w:tr w:rsidR="004B5254" w:rsidRPr="004B5254" w14:paraId="645CF6F4" w14:textId="77777777">
        <w:trPr>
          <w:tblHeader/>
          <w:tblCellSpacing w:w="15" w:type="dxa"/>
        </w:trPr>
        <w:tc>
          <w:tcPr>
            <w:tcW w:w="0" w:type="auto"/>
            <w:vAlign w:val="center"/>
            <w:hideMark/>
          </w:tcPr>
          <w:p w14:paraId="333AD126" w14:textId="77777777" w:rsidR="004B5254" w:rsidRPr="004B5254" w:rsidRDefault="004B5254" w:rsidP="004B5254">
            <w:pPr>
              <w:rPr>
                <w:b/>
                <w:bCs/>
              </w:rPr>
            </w:pPr>
            <w:r w:rsidRPr="004B5254">
              <w:rPr>
                <w:b/>
                <w:bCs/>
              </w:rPr>
              <w:t>Component</w:t>
            </w:r>
          </w:p>
        </w:tc>
        <w:tc>
          <w:tcPr>
            <w:tcW w:w="0" w:type="auto"/>
            <w:vAlign w:val="center"/>
            <w:hideMark/>
          </w:tcPr>
          <w:p w14:paraId="72767844" w14:textId="77777777" w:rsidR="004B5254" w:rsidRPr="004B5254" w:rsidRDefault="004B5254" w:rsidP="004B5254">
            <w:pPr>
              <w:rPr>
                <w:b/>
                <w:bCs/>
              </w:rPr>
            </w:pPr>
            <w:r w:rsidRPr="004B5254">
              <w:rPr>
                <w:b/>
                <w:bCs/>
              </w:rPr>
              <w:t>Items per condition</w:t>
            </w:r>
          </w:p>
        </w:tc>
        <w:tc>
          <w:tcPr>
            <w:tcW w:w="0" w:type="auto"/>
            <w:vAlign w:val="center"/>
            <w:hideMark/>
          </w:tcPr>
          <w:p w14:paraId="45F0C443" w14:textId="77777777" w:rsidR="004B5254" w:rsidRPr="004B5254" w:rsidRDefault="004B5254" w:rsidP="004B5254">
            <w:pPr>
              <w:rPr>
                <w:b/>
                <w:bCs/>
              </w:rPr>
            </w:pPr>
            <w:r w:rsidRPr="004B5254">
              <w:rPr>
                <w:b/>
                <w:bCs/>
              </w:rPr>
              <w:t>Random accuracy</w:t>
            </w:r>
          </w:p>
        </w:tc>
        <w:tc>
          <w:tcPr>
            <w:tcW w:w="0" w:type="auto"/>
            <w:vAlign w:val="center"/>
            <w:hideMark/>
          </w:tcPr>
          <w:p w14:paraId="40A6060C" w14:textId="77777777" w:rsidR="004B5254" w:rsidRPr="004B5254" w:rsidRDefault="004B5254" w:rsidP="004B5254">
            <w:pPr>
              <w:rPr>
                <w:b/>
                <w:bCs/>
              </w:rPr>
            </w:pPr>
            <w:r w:rsidRPr="004B5254">
              <w:rPr>
                <w:b/>
                <w:bCs/>
              </w:rPr>
              <w:t>Swap accuracy</w:t>
            </w:r>
          </w:p>
        </w:tc>
        <w:tc>
          <w:tcPr>
            <w:tcW w:w="0" w:type="auto"/>
            <w:vAlign w:val="center"/>
            <w:hideMark/>
          </w:tcPr>
          <w:p w14:paraId="3C42CDAE" w14:textId="77777777" w:rsidR="004B5254" w:rsidRPr="004B5254" w:rsidRDefault="004B5254" w:rsidP="004B5254">
            <w:pPr>
              <w:rPr>
                <w:b/>
                <w:bCs/>
              </w:rPr>
            </w:pPr>
            <w:r w:rsidRPr="004B5254">
              <w:rPr>
                <w:b/>
                <w:bCs/>
              </w:rPr>
              <w:t>Swap 95% CI lower bounds, seeds 13/14/15</w:t>
            </w:r>
          </w:p>
        </w:tc>
        <w:tc>
          <w:tcPr>
            <w:tcW w:w="0" w:type="auto"/>
            <w:vAlign w:val="center"/>
            <w:hideMark/>
          </w:tcPr>
          <w:p w14:paraId="69D96573" w14:textId="77777777" w:rsidR="004B5254" w:rsidRPr="004B5254" w:rsidRDefault="004B5254" w:rsidP="004B5254">
            <w:pPr>
              <w:rPr>
                <w:b/>
                <w:bCs/>
              </w:rPr>
            </w:pPr>
            <w:r w:rsidRPr="004B5254">
              <w:rPr>
                <w:b/>
                <w:bCs/>
              </w:rPr>
              <w:t xml:space="preserve">Random </w:t>
            </w:r>
            <w:r w:rsidRPr="004B5254">
              <w:rPr>
                <w:rFonts w:ascii="Cambria Math" w:hAnsi="Cambria Math" w:cs="Cambria Math"/>
                <w:b/>
                <w:bCs/>
              </w:rPr>
              <w:t>−</w:t>
            </w:r>
            <w:r w:rsidRPr="004B5254">
              <w:rPr>
                <w:b/>
                <w:bCs/>
              </w:rPr>
              <w:t xml:space="preserve"> swap gap, mean </w:t>
            </w:r>
            <w:r w:rsidRPr="004B5254">
              <w:rPr>
                <w:rFonts w:ascii="DengXian" w:eastAsia="DengXian" w:hAnsi="DengXian" w:cs="DengXian" w:hint="eastAsia"/>
                <w:b/>
                <w:bCs/>
              </w:rPr>
              <w:t>±</w:t>
            </w:r>
            <w:r w:rsidRPr="004B5254">
              <w:rPr>
                <w:b/>
                <w:bCs/>
              </w:rPr>
              <w:t xml:space="preserve"> SD</w:t>
            </w:r>
          </w:p>
        </w:tc>
        <w:tc>
          <w:tcPr>
            <w:tcW w:w="0" w:type="auto"/>
            <w:vAlign w:val="center"/>
            <w:hideMark/>
          </w:tcPr>
          <w:p w14:paraId="5415D36E" w14:textId="77777777" w:rsidR="004B5254" w:rsidRPr="004B5254" w:rsidRDefault="004B5254" w:rsidP="004B5254">
            <w:pPr>
              <w:rPr>
                <w:b/>
                <w:bCs/>
              </w:rPr>
            </w:pPr>
            <w:r w:rsidRPr="004B5254">
              <w:rPr>
                <w:b/>
                <w:bCs/>
              </w:rPr>
              <w:t>Verdict</w:t>
            </w:r>
          </w:p>
        </w:tc>
      </w:tr>
      <w:tr w:rsidR="004B5254" w:rsidRPr="004B5254" w14:paraId="4BC9B51E" w14:textId="77777777">
        <w:trPr>
          <w:tblCellSpacing w:w="15" w:type="dxa"/>
        </w:trPr>
        <w:tc>
          <w:tcPr>
            <w:tcW w:w="0" w:type="auto"/>
            <w:vAlign w:val="center"/>
            <w:hideMark/>
          </w:tcPr>
          <w:p w14:paraId="5D7AE03B" w14:textId="77777777" w:rsidR="004B5254" w:rsidRPr="004B5254" w:rsidRDefault="004B5254" w:rsidP="004B5254">
            <w:r w:rsidRPr="004B5254">
              <w:t>N2 temporal extent</w:t>
            </w:r>
          </w:p>
        </w:tc>
        <w:tc>
          <w:tcPr>
            <w:tcW w:w="0" w:type="auto"/>
            <w:vAlign w:val="center"/>
            <w:hideMark/>
          </w:tcPr>
          <w:p w14:paraId="4DF91F5C" w14:textId="77777777" w:rsidR="004B5254" w:rsidRPr="004B5254" w:rsidRDefault="004B5254" w:rsidP="004B5254">
            <w:r w:rsidRPr="004B5254">
              <w:t>400</w:t>
            </w:r>
          </w:p>
        </w:tc>
        <w:tc>
          <w:tcPr>
            <w:tcW w:w="0" w:type="auto"/>
            <w:vAlign w:val="center"/>
            <w:hideMark/>
          </w:tcPr>
          <w:p w14:paraId="6934E3C9" w14:textId="77777777" w:rsidR="004B5254" w:rsidRPr="004B5254" w:rsidRDefault="004B5254" w:rsidP="004B5254">
            <w:r w:rsidRPr="004B5254">
              <w:t>0.990–1.000</w:t>
            </w:r>
          </w:p>
        </w:tc>
        <w:tc>
          <w:tcPr>
            <w:tcW w:w="0" w:type="auto"/>
            <w:vAlign w:val="center"/>
            <w:hideMark/>
          </w:tcPr>
          <w:p w14:paraId="2D138E48" w14:textId="77777777" w:rsidR="004B5254" w:rsidRPr="004B5254" w:rsidRDefault="004B5254" w:rsidP="004B5254">
            <w:r w:rsidRPr="004B5254">
              <w:t>0.935–0.950</w:t>
            </w:r>
          </w:p>
        </w:tc>
        <w:tc>
          <w:tcPr>
            <w:tcW w:w="0" w:type="auto"/>
            <w:vAlign w:val="center"/>
            <w:hideMark/>
          </w:tcPr>
          <w:p w14:paraId="62462816" w14:textId="77777777" w:rsidR="004B5254" w:rsidRPr="004B5254" w:rsidRDefault="004B5254" w:rsidP="004B5254">
            <w:r w:rsidRPr="004B5254">
              <w:t>0.910 / 0.910 / 0.927</w:t>
            </w:r>
          </w:p>
        </w:tc>
        <w:tc>
          <w:tcPr>
            <w:tcW w:w="0" w:type="auto"/>
            <w:vAlign w:val="center"/>
            <w:hideMark/>
          </w:tcPr>
          <w:p w14:paraId="387CBC38" w14:textId="77777777" w:rsidR="004B5254" w:rsidRPr="004B5254" w:rsidRDefault="004B5254" w:rsidP="004B5254">
            <w:r w:rsidRPr="004B5254">
              <w:t>+0.055 ± 0.007</w:t>
            </w:r>
          </w:p>
        </w:tc>
        <w:tc>
          <w:tcPr>
            <w:tcW w:w="0" w:type="auto"/>
            <w:vAlign w:val="center"/>
            <w:hideMark/>
          </w:tcPr>
          <w:p w14:paraId="244D7D39" w14:textId="77777777" w:rsidR="004B5254" w:rsidRPr="004B5254" w:rsidRDefault="004B5254" w:rsidP="004B5254">
            <w:r w:rsidRPr="004B5254">
              <w:t>partial</w:t>
            </w:r>
          </w:p>
        </w:tc>
      </w:tr>
      <w:tr w:rsidR="004B5254" w:rsidRPr="004B5254" w14:paraId="4E04361E" w14:textId="77777777">
        <w:trPr>
          <w:tblCellSpacing w:w="15" w:type="dxa"/>
        </w:trPr>
        <w:tc>
          <w:tcPr>
            <w:tcW w:w="0" w:type="auto"/>
            <w:vAlign w:val="center"/>
            <w:hideMark/>
          </w:tcPr>
          <w:p w14:paraId="14362FB2" w14:textId="77777777" w:rsidR="004B5254" w:rsidRPr="004B5254" w:rsidRDefault="004B5254" w:rsidP="004B5254">
            <w:r w:rsidRPr="004B5254">
              <w:t>N1 condition labels</w:t>
            </w:r>
          </w:p>
        </w:tc>
        <w:tc>
          <w:tcPr>
            <w:tcW w:w="0" w:type="auto"/>
            <w:vAlign w:val="center"/>
            <w:hideMark/>
          </w:tcPr>
          <w:p w14:paraId="7DD07370" w14:textId="77777777" w:rsidR="004B5254" w:rsidRPr="004B5254" w:rsidRDefault="004B5254" w:rsidP="004B5254">
            <w:r w:rsidRPr="004B5254">
              <w:t>400</w:t>
            </w:r>
          </w:p>
        </w:tc>
        <w:tc>
          <w:tcPr>
            <w:tcW w:w="0" w:type="auto"/>
            <w:vAlign w:val="center"/>
            <w:hideMark/>
          </w:tcPr>
          <w:p w14:paraId="40E97D3C" w14:textId="77777777" w:rsidR="004B5254" w:rsidRPr="004B5254" w:rsidRDefault="004B5254" w:rsidP="004B5254">
            <w:r w:rsidRPr="004B5254">
              <w:t>0.993–1.000</w:t>
            </w:r>
          </w:p>
        </w:tc>
        <w:tc>
          <w:tcPr>
            <w:tcW w:w="0" w:type="auto"/>
            <w:vAlign w:val="center"/>
            <w:hideMark/>
          </w:tcPr>
          <w:p w14:paraId="58762FDA" w14:textId="77777777" w:rsidR="004B5254" w:rsidRPr="004B5254" w:rsidRDefault="004B5254" w:rsidP="004B5254">
            <w:r w:rsidRPr="004B5254">
              <w:t>0.875–0.892</w:t>
            </w:r>
          </w:p>
        </w:tc>
        <w:tc>
          <w:tcPr>
            <w:tcW w:w="0" w:type="auto"/>
            <w:vAlign w:val="center"/>
            <w:hideMark/>
          </w:tcPr>
          <w:p w14:paraId="49169BDB" w14:textId="77777777" w:rsidR="004B5254" w:rsidRPr="004B5254" w:rsidRDefault="004B5254" w:rsidP="004B5254">
            <w:r w:rsidRPr="004B5254">
              <w:t>0.860 / 0.848 / 0.843</w:t>
            </w:r>
          </w:p>
        </w:tc>
        <w:tc>
          <w:tcPr>
            <w:tcW w:w="0" w:type="auto"/>
            <w:vAlign w:val="center"/>
            <w:hideMark/>
          </w:tcPr>
          <w:p w14:paraId="0365FC5A" w14:textId="77777777" w:rsidR="004B5254" w:rsidRPr="004B5254" w:rsidRDefault="004B5254" w:rsidP="004B5254">
            <w:r w:rsidRPr="004B5254">
              <w:t>+0.115 ± 0.009</w:t>
            </w:r>
          </w:p>
        </w:tc>
        <w:tc>
          <w:tcPr>
            <w:tcW w:w="0" w:type="auto"/>
            <w:vAlign w:val="center"/>
            <w:hideMark/>
          </w:tcPr>
          <w:p w14:paraId="7A8EA95C" w14:textId="77777777" w:rsidR="004B5254" w:rsidRPr="004B5254" w:rsidRDefault="004B5254" w:rsidP="004B5254">
            <w:r w:rsidRPr="004B5254">
              <w:t>partial</w:t>
            </w:r>
          </w:p>
        </w:tc>
      </w:tr>
      <w:tr w:rsidR="004B5254" w:rsidRPr="004B5254" w14:paraId="6AFC87C1" w14:textId="77777777">
        <w:trPr>
          <w:tblCellSpacing w:w="15" w:type="dxa"/>
        </w:trPr>
        <w:tc>
          <w:tcPr>
            <w:tcW w:w="0" w:type="auto"/>
            <w:vAlign w:val="center"/>
            <w:hideMark/>
          </w:tcPr>
          <w:p w14:paraId="129CF4F1" w14:textId="77777777" w:rsidR="004B5254" w:rsidRPr="004B5254" w:rsidRDefault="004B5254" w:rsidP="004B5254">
            <w:r w:rsidRPr="004B5254">
              <w:rPr>
                <w:b/>
                <w:bCs/>
              </w:rPr>
              <w:t>N3 trend direction</w:t>
            </w:r>
          </w:p>
        </w:tc>
        <w:tc>
          <w:tcPr>
            <w:tcW w:w="0" w:type="auto"/>
            <w:vAlign w:val="center"/>
            <w:hideMark/>
          </w:tcPr>
          <w:p w14:paraId="2A6D8570" w14:textId="77777777" w:rsidR="004B5254" w:rsidRPr="004B5254" w:rsidRDefault="004B5254" w:rsidP="004B5254">
            <w:r w:rsidRPr="004B5254">
              <w:rPr>
                <w:b/>
                <w:bCs/>
              </w:rPr>
              <w:t>344</w:t>
            </w:r>
          </w:p>
        </w:tc>
        <w:tc>
          <w:tcPr>
            <w:tcW w:w="0" w:type="auto"/>
            <w:vAlign w:val="center"/>
            <w:hideMark/>
          </w:tcPr>
          <w:p w14:paraId="46A4E2E4" w14:textId="77777777" w:rsidR="004B5254" w:rsidRPr="004B5254" w:rsidRDefault="004B5254" w:rsidP="004B5254">
            <w:r w:rsidRPr="004B5254">
              <w:rPr>
                <w:b/>
                <w:bCs/>
              </w:rPr>
              <w:t>0.994–1.000</w:t>
            </w:r>
          </w:p>
        </w:tc>
        <w:tc>
          <w:tcPr>
            <w:tcW w:w="0" w:type="auto"/>
            <w:vAlign w:val="center"/>
            <w:hideMark/>
          </w:tcPr>
          <w:p w14:paraId="3EA1306D" w14:textId="77777777" w:rsidR="004B5254" w:rsidRPr="004B5254" w:rsidRDefault="004B5254" w:rsidP="004B5254">
            <w:r w:rsidRPr="004B5254">
              <w:rPr>
                <w:b/>
                <w:bCs/>
              </w:rPr>
              <w:t>0.703–0.712</w:t>
            </w:r>
          </w:p>
        </w:tc>
        <w:tc>
          <w:tcPr>
            <w:tcW w:w="0" w:type="auto"/>
            <w:vAlign w:val="center"/>
            <w:hideMark/>
          </w:tcPr>
          <w:p w14:paraId="48CB9924" w14:textId="77777777" w:rsidR="004B5254" w:rsidRPr="004B5254" w:rsidRDefault="004B5254" w:rsidP="004B5254">
            <w:r w:rsidRPr="004B5254">
              <w:rPr>
                <w:b/>
                <w:bCs/>
              </w:rPr>
              <w:t>0.654 / 0.666 / 0.663</w:t>
            </w:r>
          </w:p>
        </w:tc>
        <w:tc>
          <w:tcPr>
            <w:tcW w:w="0" w:type="auto"/>
            <w:vAlign w:val="center"/>
            <w:hideMark/>
          </w:tcPr>
          <w:p w14:paraId="45BEE839" w14:textId="77777777" w:rsidR="004B5254" w:rsidRPr="004B5254" w:rsidRDefault="004B5254" w:rsidP="004B5254">
            <w:r w:rsidRPr="004B5254">
              <w:rPr>
                <w:b/>
                <w:bCs/>
              </w:rPr>
              <w:t>+0.289 ± 0.007</w:t>
            </w:r>
          </w:p>
        </w:tc>
        <w:tc>
          <w:tcPr>
            <w:tcW w:w="0" w:type="auto"/>
            <w:vAlign w:val="center"/>
            <w:hideMark/>
          </w:tcPr>
          <w:p w14:paraId="47DFACFF" w14:textId="77777777" w:rsidR="004B5254" w:rsidRPr="004B5254" w:rsidRDefault="004B5254" w:rsidP="004B5254">
            <w:r w:rsidRPr="004B5254">
              <w:rPr>
                <w:b/>
                <w:bCs/>
              </w:rPr>
              <w:t>partial</w:t>
            </w:r>
          </w:p>
        </w:tc>
      </w:tr>
    </w:tbl>
    <w:p w14:paraId="74F0DE23" w14:textId="77777777" w:rsidR="004B5254" w:rsidRPr="004B5254" w:rsidRDefault="004B5254" w:rsidP="004B5254">
      <w:r w:rsidRPr="004B5254">
        <w:t>The random-control condition confirms that TRACE can perform the easier discrimination for all three components. Random-control accuracy is at least 0.990 in every seed and component, and the lowest corresponding 95% confidence-interval lower bound is 0.980. None of these cells is therefore VOID. Against the more controlled component swaps, however, accuracy decreases for all three components.</w:t>
      </w:r>
    </w:p>
    <w:p w14:paraId="5786DBA0" w14:textId="77777777" w:rsidR="004B5254" w:rsidRPr="004B5254" w:rsidRDefault="004B5254" w:rsidP="004B5254">
      <w:r w:rsidRPr="004B5254">
        <w:t>The degradation is statistically supported and replicated. The random-minus-swap gap is positive in every seed for N1, N2, and N3, and every bootstrap 95% confidence interval for the gap excludes zero. The smallest lower bound is +0.027 for N2 in seed 13. No bootstrap resample produced a zero-or-negative gap. With 10,000 draws, the corresponding two-sided bootstrap p-values are therefore reported as 0 by the analysis and remain below 10</w:t>
      </w:r>
      <w:r w:rsidRPr="004B5254">
        <w:rPr>
          <w:rFonts w:ascii="Cambria Math" w:hAnsi="Cambria Math" w:cs="Cambria Math"/>
        </w:rPr>
        <w:t>−</w:t>
      </w:r>
      <w:r w:rsidRPr="004B5254">
        <w:t>310^{-3} after Holm correction. Two-sided paired Wilcoxon tests on the per-signal accuracy differences give the same conclusion in every cell; the largest p-value is 9.6×10</w:t>
      </w:r>
      <w:r w:rsidRPr="004B5254">
        <w:rPr>
          <w:rFonts w:ascii="Cambria Math" w:hAnsi="Cambria Math" w:cs="Cambria Math"/>
        </w:rPr>
        <w:t>−</w:t>
      </w:r>
      <w:r w:rsidRPr="004B5254">
        <w:t>59.6\times10^{-5}, again for N2 in seed 13.</w:t>
      </w:r>
    </w:p>
    <w:p w14:paraId="6BA46D27" w14:textId="77777777" w:rsidR="004B5254" w:rsidRPr="004B5254" w:rsidRDefault="004B5254" w:rsidP="004B5254">
      <w:r w:rsidRPr="004B5254">
        <w:lastRenderedPageBreak/>
        <w:t xml:space="preserve">Under the verdict rule defined in Section 3.7, all three components show </w:t>
      </w:r>
      <w:r w:rsidRPr="004B5254">
        <w:rPr>
          <w:b/>
          <w:bCs/>
        </w:rPr>
        <w:t>partial degradation</w:t>
      </w:r>
      <w:r w:rsidRPr="004B5254">
        <w:t xml:space="preserve"> rather than collapse. Their swap-condition confidence intervals remain above the 0.60 capability convention in every seed: the lowest bounds are 0.910 for N2, 0.843 for N1, and 0.654 for N3. The size of the degradation nevertheless differs substantially. Changing the stated temporal extent produces a mean gap of +0.055 ± 0.007, and changing a condition label produces +0.115 ± 0.009. Reversing the stated temperature-trend direction produces the largest degradation, +0.289 ± 0.007, with swap accuracy falling to 0.703–0.712. TRACE therefore distinguishes trend-direction swaps considerably less reliably than the other two tested changes, although its performance remains above chance.</w:t>
      </w:r>
    </w:p>
    <w:p w14:paraId="1DFC5DD1" w14:textId="77777777" w:rsidR="004B5254" w:rsidRPr="004B5254" w:rsidRDefault="004B5254" w:rsidP="004B5254">
      <w:r w:rsidRPr="004B5254">
        <w:t>The trend-direction result is also reflected in the model's decision margins. For N3 swap items, the mean correct-minus-alternative similarity margin is only 0.0046, 0.0048, and 0.0045 in seeds 13, 14, and 15, respectively. The corresponding mean margins are approximately 0.048 for N1 and 0.076 for N2. Many N3 decisions are therefore close: TRACE often assigns similar scores to a description stating that temperature increased and to the otherwise matched description stating that it decreased. This does not change the verdict. Certified N3 accuracy remains 0.703–0.712 with confidence intervals above chance, so the result is partial degradation with small decision margins, not a collapse.</w:t>
      </w:r>
    </w:p>
    <w:p w14:paraId="75A7DD16" w14:textId="77777777" w:rsidR="004B5254" w:rsidRPr="004B5254" w:rsidRDefault="004B5254" w:rsidP="004B5254">
      <w:r w:rsidRPr="004B5254">
        <w:t xml:space="preserve">Because N3 carries the largest Diagnostic-1 effect, its item validity was examined through the full certification procedure described in Section 3.4. The count chain was </w:t>
      </w:r>
      <w:r w:rsidRPr="004B5254">
        <w:rPr>
          <w:b/>
          <w:bCs/>
        </w:rPr>
        <w:t>400 generated → 389 pre-run certified → 344 census-certified</w:t>
      </w:r>
      <w:r w:rsidRPr="004B5254">
        <w:t>. The initial pre-registered human screen contained 100 items, stratified as 67 28-day cases, 27 one-week cases, and 6 six-month cases. It failed the required validity criterion of 0.95: the first judgement accepted 86 of 100 items. A second judgement of the same sample differed on four rows. Under the pre-specified strict rule, the union of the two judgements contained 17 defective items, corresponding to a defect rate of 0.170 with a Wilson 95% confidence interval of [0.109, 0.256].</w:t>
      </w:r>
    </w:p>
    <w:p w14:paraId="43D97DBE" w14:textId="77777777" w:rsidR="004B5254" w:rsidRPr="004B5254" w:rsidRDefault="004B5254" w:rsidP="004B5254">
      <w:r w:rsidRPr="004B5254">
        <w:t>Both registered expectations about this screen missed. Validity had been expected to exceed 0.95, and defects had been expected to concentrate in the one-week group. Instead, five of the six sampled six-month items were judged defective. A rule-based certification procedure was then tested but rejected because at least one defective item occurred in otherwise standard phrasing that could not be isolated by a reliable rule. The remaining 289 N3 items were therefore judged individually: 261 were accepted and 28 rejected. Across the complete pre-run set, 45 of 389 items were excluded, a defect rate of 11.6%. The rates differed by duration: 16 of 261 28-day items (6.1%), 15 of 105 one-week items (14.3%), and 14 of 23 six-month items (60.9%). The judged defects fell into four recurring forms: residual wording that contradicted the reversed trend, malformed or non-claim text after the edit, a remaining humidity-trend statement that presupposed the original temperature direction, and date-span wording that conflicted with the reversed claim.</w:t>
      </w:r>
    </w:p>
    <w:p w14:paraId="09B9B978" w14:textId="77777777" w:rsidR="004B5254" w:rsidRPr="004B5254" w:rsidRDefault="004B5254" w:rsidP="004B5254">
      <w:r w:rsidRPr="004B5254">
        <w:lastRenderedPageBreak/>
        <w:t>Importantly, removing these defective items strengthened the observed degradation rather than producing it. Before the census, N3 swap accuracy was 0.720–0.725 and the mean random-minus-swap gap was +0.272 ± 0.005. After certification, swap accuracy decreased by 0.016, 0.010, and 0.016 across seeds 13, 14, and 15, respectively, producing the certified range of 0.703–0.712 and increasing the gap to +0.289 ± 0.007. The excluded items had therefore been relatively easy cases for TRACE. The registered prediction was that swap accuracy would decrease after excision, or at least would not increase by more than 0.03. It was confirmed in the more informative direction: swap accuracy decreased in every seed. The pre-census figures are retained in the reproduction record but are not used as the final result.</w:t>
      </w:r>
    </w:p>
    <w:p w14:paraId="350CE319" w14:textId="77777777" w:rsidR="004B5254" w:rsidRPr="004B5254" w:rsidRDefault="004B5254" w:rsidP="004B5254">
      <w:r w:rsidRPr="004B5254">
        <w:t>The certified N3 items also show a duration pattern. Pooled across seeds, swap accuracy is 0.619 for one-week windows (n=90), 0.736 for 28-day windows (n=245), and 0.852 for six-month windows (n=9). The same ordering appears in every seed: 0.611 / 0.644 / 0.600 for one week, 0.731 / 0.731 / 0.747 for 28 days, and 0.889 / 0.889 / 0.778 for six months. Because the six-month group contains only nine certified items, it is descriptive and does not support a conclusion by itself. The better-supported comparison is between the one-week and 28-day groups, for which trend-direction swaps are detected more reliably over the longer window.</w:t>
      </w:r>
    </w:p>
    <w:p w14:paraId="4A70F9E4" w14:textId="77777777" w:rsidR="004B5254" w:rsidRPr="004B5254" w:rsidRDefault="004B5254" w:rsidP="004B5254">
      <w:r w:rsidRPr="004B5254">
        <w:t>One possible contributor to the high six-month accuracy is the date-span information contained in some descriptions, which can itself constrain the plausible trend direction. This explanation is incomplete. A registered prediction expected at least 70% of the relevant six-month census items to fail for this reason, but only 9 of 17 did so (0.529). The date-span cue can therefore account for some individual cases but does not by itself explain the duration pattern. The reason that trend-direction swaps are more difficult on shorter windows remains unresolved by this diagnostic.</w:t>
      </w:r>
    </w:p>
    <w:p w14:paraId="6B2F886D" w14:textId="77777777" w:rsidR="004B5254" w:rsidRPr="004B5254" w:rsidRDefault="004B5254" w:rsidP="004B5254">
      <w:r w:rsidRPr="004B5254">
        <w:t>The other two components do not show a comparable duration pattern. For N1, swap accuracy is 0.864 for one-week descriptions (n=235), 0.897 for 28-day descriptions (n=113), and 0.936 for six-month descriptions (n=52), a total spread of 0.072; the registered prediction that N1 would not be strongly duration-driven was confirmed. N2 is nearly unchanged across its two duration groups: 0.938 for one-week descriptions (n=192) and 0.944 for six-month descriptions (n=208). Descriptively, N3, whose edit occurs inside the generated channel prose, also shows substantially greater degradation than N1 and N2, whose edits occur in header fields. This pattern identifies where the observed difficulty occurs, but it does not establish the mechanism that produces it.</w:t>
      </w:r>
    </w:p>
    <w:p w14:paraId="1991AD52" w14:textId="77777777" w:rsidR="004B5254" w:rsidRPr="004B5254" w:rsidRDefault="004B5254" w:rsidP="004B5254">
      <w:r w:rsidRPr="004B5254">
        <w:t xml:space="preserve">Caption length does not account for the component profile. N1 and N3 swaps contain exactly the same number of words as their correct descriptions, so a rule that always selects the longer candidate scores exactly 0.500. For N2, the same rule scores 0.398; the correct description is shorter in approximately 70% of these items, so a length preference would reduce rather than </w:t>
      </w:r>
      <w:r w:rsidRPr="004B5254">
        <w:lastRenderedPageBreak/>
        <w:t>create N2 accuracy. Across the item set, the correlation between candidate-length difference and the model's decision margin is approximately 0.000 in both conditions.</w:t>
      </w:r>
    </w:p>
    <w:p w14:paraId="3A6C7EDF" w14:textId="05232C41" w:rsidR="001B6BBA" w:rsidRPr="004B5254" w:rsidRDefault="004B5254">
      <w:pPr>
        <w:rPr>
          <w:rFonts w:hint="eastAsia"/>
        </w:rPr>
      </w:pPr>
      <w:r w:rsidRPr="004B5254">
        <w:t xml:space="preserve">Taken together, these results show that TRACE distinguishes all three tested narrative changes, but with markedly different reliability. Temporal extent and condition labels remain close to the random-control ceiling, whereas reversing the temperature-trend direction produces a much larger, replicated degradation and substantially smaller decision margins. The result is therefore </w:t>
      </w:r>
      <w:r w:rsidRPr="004B5254">
        <w:rPr>
          <w:b/>
          <w:bCs/>
        </w:rPr>
        <w:t>partial degradation for N1, N2, and N3, with N3 as the strongest effect</w:t>
      </w:r>
      <w:r w:rsidRPr="004B5254">
        <w:t>. This conclusion is limited to the forced-choice distinctions exposed by TRACE's templated, largely generated descriptions. It does not identify the mechanism responsible for the component profile. In addition, the matched random distractors were not human-certified, so they serve as a capability reference rather than as a separately certified item set.</w:t>
      </w:r>
    </w:p>
    <w:sectPr w:rsidR="001B6BBA" w:rsidRPr="004B5254">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BA"/>
    <w:rsid w:val="001B6BBA"/>
    <w:rsid w:val="004B5254"/>
    <w:rsid w:val="00FA6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0DB69"/>
  <w15:chartTrackingRefBased/>
  <w15:docId w15:val="{6E60D821-B0F8-47AD-BE68-1ED3CDC5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B6BB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B6BB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B6BB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B6BB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B6BB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B6BB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B6BB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6BB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B6BB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6BB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B6BB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B6BB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B6BBA"/>
    <w:rPr>
      <w:rFonts w:cstheme="majorBidi"/>
      <w:color w:val="2F5496" w:themeColor="accent1" w:themeShade="BF"/>
      <w:sz w:val="28"/>
      <w:szCs w:val="28"/>
    </w:rPr>
  </w:style>
  <w:style w:type="character" w:customStyle="1" w:styleId="50">
    <w:name w:val="标题 5 字符"/>
    <w:basedOn w:val="a0"/>
    <w:link w:val="5"/>
    <w:uiPriority w:val="9"/>
    <w:semiHidden/>
    <w:rsid w:val="001B6BBA"/>
    <w:rPr>
      <w:rFonts w:cstheme="majorBidi"/>
      <w:color w:val="2F5496" w:themeColor="accent1" w:themeShade="BF"/>
      <w:sz w:val="24"/>
    </w:rPr>
  </w:style>
  <w:style w:type="character" w:customStyle="1" w:styleId="60">
    <w:name w:val="标题 6 字符"/>
    <w:basedOn w:val="a0"/>
    <w:link w:val="6"/>
    <w:uiPriority w:val="9"/>
    <w:semiHidden/>
    <w:rsid w:val="001B6BBA"/>
    <w:rPr>
      <w:rFonts w:cstheme="majorBidi"/>
      <w:b/>
      <w:bCs/>
      <w:color w:val="2F5496" w:themeColor="accent1" w:themeShade="BF"/>
    </w:rPr>
  </w:style>
  <w:style w:type="character" w:customStyle="1" w:styleId="70">
    <w:name w:val="标题 7 字符"/>
    <w:basedOn w:val="a0"/>
    <w:link w:val="7"/>
    <w:uiPriority w:val="9"/>
    <w:semiHidden/>
    <w:rsid w:val="001B6BBA"/>
    <w:rPr>
      <w:rFonts w:cstheme="majorBidi"/>
      <w:b/>
      <w:bCs/>
      <w:color w:val="595959" w:themeColor="text1" w:themeTint="A6"/>
    </w:rPr>
  </w:style>
  <w:style w:type="character" w:customStyle="1" w:styleId="80">
    <w:name w:val="标题 8 字符"/>
    <w:basedOn w:val="a0"/>
    <w:link w:val="8"/>
    <w:uiPriority w:val="9"/>
    <w:semiHidden/>
    <w:rsid w:val="001B6BBA"/>
    <w:rPr>
      <w:rFonts w:cstheme="majorBidi"/>
      <w:color w:val="595959" w:themeColor="text1" w:themeTint="A6"/>
    </w:rPr>
  </w:style>
  <w:style w:type="character" w:customStyle="1" w:styleId="90">
    <w:name w:val="标题 9 字符"/>
    <w:basedOn w:val="a0"/>
    <w:link w:val="9"/>
    <w:uiPriority w:val="9"/>
    <w:semiHidden/>
    <w:rsid w:val="001B6BBA"/>
    <w:rPr>
      <w:rFonts w:eastAsiaTheme="majorEastAsia" w:cstheme="majorBidi"/>
      <w:color w:val="595959" w:themeColor="text1" w:themeTint="A6"/>
    </w:rPr>
  </w:style>
  <w:style w:type="paragraph" w:styleId="a3">
    <w:name w:val="Title"/>
    <w:basedOn w:val="a"/>
    <w:next w:val="a"/>
    <w:link w:val="a4"/>
    <w:uiPriority w:val="10"/>
    <w:qFormat/>
    <w:rsid w:val="001B6B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6B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B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6B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6BBA"/>
    <w:pPr>
      <w:spacing w:before="160"/>
      <w:jc w:val="center"/>
    </w:pPr>
    <w:rPr>
      <w:i/>
      <w:iCs/>
      <w:color w:val="404040" w:themeColor="text1" w:themeTint="BF"/>
    </w:rPr>
  </w:style>
  <w:style w:type="character" w:customStyle="1" w:styleId="a8">
    <w:name w:val="引用 字符"/>
    <w:basedOn w:val="a0"/>
    <w:link w:val="a7"/>
    <w:uiPriority w:val="29"/>
    <w:rsid w:val="001B6BBA"/>
    <w:rPr>
      <w:i/>
      <w:iCs/>
      <w:color w:val="404040" w:themeColor="text1" w:themeTint="BF"/>
    </w:rPr>
  </w:style>
  <w:style w:type="paragraph" w:styleId="a9">
    <w:name w:val="List Paragraph"/>
    <w:basedOn w:val="a"/>
    <w:uiPriority w:val="34"/>
    <w:qFormat/>
    <w:rsid w:val="001B6BBA"/>
    <w:pPr>
      <w:ind w:left="720"/>
      <w:contextualSpacing/>
    </w:pPr>
  </w:style>
  <w:style w:type="character" w:styleId="aa">
    <w:name w:val="Intense Emphasis"/>
    <w:basedOn w:val="a0"/>
    <w:uiPriority w:val="21"/>
    <w:qFormat/>
    <w:rsid w:val="001B6BBA"/>
    <w:rPr>
      <w:i/>
      <w:iCs/>
      <w:color w:val="2F5496" w:themeColor="accent1" w:themeShade="BF"/>
    </w:rPr>
  </w:style>
  <w:style w:type="paragraph" w:styleId="ab">
    <w:name w:val="Intense Quote"/>
    <w:basedOn w:val="a"/>
    <w:next w:val="a"/>
    <w:link w:val="ac"/>
    <w:uiPriority w:val="30"/>
    <w:qFormat/>
    <w:rsid w:val="001B6B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B6BBA"/>
    <w:rPr>
      <w:i/>
      <w:iCs/>
      <w:color w:val="2F5496" w:themeColor="accent1" w:themeShade="BF"/>
    </w:rPr>
  </w:style>
  <w:style w:type="character" w:styleId="ad">
    <w:name w:val="Intense Reference"/>
    <w:basedOn w:val="a0"/>
    <w:uiPriority w:val="32"/>
    <w:qFormat/>
    <w:rsid w:val="001B6B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1470</Words>
  <Characters>8384</Characters>
  <Application>Microsoft Office Word</Application>
  <DocSecurity>0</DocSecurity>
  <Lines>69</Lines>
  <Paragraphs>19</Paragraphs>
  <ScaleCrop>false</ScaleCrop>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2026-09-07T16:56:00Z</dcterms:created>
  <dcterms:modified xsi:type="dcterms:W3CDTF">2026-09-07T16:56:00Z</dcterms:modified>
</cp:coreProperties>
</file>