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0AD8" w14:textId="77777777" w:rsidR="00CA3086" w:rsidRPr="00CA3086" w:rsidRDefault="00CA3086" w:rsidP="00CA3086">
      <w:pPr>
        <w:rPr>
          <w:b/>
          <w:bCs/>
        </w:rPr>
      </w:pPr>
      <w:r w:rsidRPr="00CA3086">
        <w:rPr>
          <w:b/>
          <w:bCs/>
        </w:rPr>
        <w:t>2.2 CLaSP reimplementation and verification</w:t>
      </w:r>
    </w:p>
    <w:p w14:paraId="70AFEACA" w14:textId="77777777" w:rsidR="00CA3086" w:rsidRPr="00CA3086" w:rsidRDefault="00CA3086" w:rsidP="00CA3086">
      <w:r w:rsidRPr="00CA3086">
        <w:t>CLaSP (Ito, Dohi, and Kawaguchi, 2025) does not provide public source code or a published checkpoint. The authors were contacted to request the implementation, trained weights, and access to the full SUSHI dataset, but no reply had been received at the time of writing. The CLaSP system evaluated in this thesis is therefore a reimplementation constructed from the published specification. Because the original artefact is unavailable, establishing that this reimplementation behaves consistently with the published model is a necessary part of the evaluation.</w:t>
      </w:r>
    </w:p>
    <w:p w14:paraId="27CF3DFF" w14:textId="77777777" w:rsidR="00CA3086" w:rsidRPr="00CA3086" w:rsidRDefault="00CA3086" w:rsidP="00CA3086">
      <w:r w:rsidRPr="00CA3086">
        <w:t>The reimplementation follows the published architecture and training objective wherever these are specified. It contains separate time-series and text encoders, linear projections into a shared embedding space, temperature-scaled cosine similarity, and a symmetric contrastive loss over the in-batch similarity matrix. The time-series encoder is trained from scratch, while the text branch uses google-t5/t5-small, following the paper. Settings that are not specified in the publication are treated as documented implementation choices rather than assumed properties of the original model. These include an embedding dimension of 512, a learnable temperature initialised following CLIP, a three-layer signal encoder, masked mean pooling, a lower learning rate for fine-tuning T5-Small, AdamW optimisation, early stopping on validation loss, and fixed random seeds. A complete implementation specification is provided in the appendix. The thesis does not claim weight identity or hyperparameter identity with the authors' model.</w:t>
      </w:r>
    </w:p>
    <w:p w14:paraId="548A27CB" w14:textId="77777777" w:rsidR="00CA3086" w:rsidRPr="00CA3086" w:rsidRDefault="00CA3086" w:rsidP="00CA3086">
      <w:r w:rsidRPr="00CA3086">
        <w:t>The reimplementation was checked at five levels.</w:t>
      </w:r>
    </w:p>
    <w:p w14:paraId="53256D83" w14:textId="77777777" w:rsidR="00CA3086" w:rsidRPr="00CA3086" w:rsidRDefault="00CA3086" w:rsidP="00CA3086">
      <w:r w:rsidRPr="00CA3086">
        <w:rPr>
          <w:b/>
          <w:bCs/>
        </w:rPr>
        <w:t>1. Specification correspondence.</w:t>
      </w:r>
      <w:r w:rsidRPr="00CA3086">
        <w:t xml:space="preserve"> The published architecture, objective, encoders, and evaluation procedure were mapped to their corresponding implementation components. Explicit deviations from the publication are stated below rather than treated as equivalent to the original artefact.</w:t>
      </w:r>
    </w:p>
    <w:p w14:paraId="5DE72177" w14:textId="77777777" w:rsidR="00CA3086" w:rsidRPr="00CA3086" w:rsidRDefault="00CA3086" w:rsidP="00CA3086">
      <w:r w:rsidRPr="00CA3086">
        <w:rPr>
          <w:b/>
          <w:bCs/>
        </w:rPr>
        <w:t>2. Data integrity.</w:t>
      </w:r>
      <w:r w:rsidRPr="00CA3086">
        <w:t xml:space="preserve"> The TRUCE and SUSHI-Tiny data used for training and evaluation were independently checked before training. Their construction, counts, splits, and frozen canonical representation are described in Section 2.1.</w:t>
      </w:r>
    </w:p>
    <w:p w14:paraId="06FBBB22" w14:textId="77777777" w:rsidR="00CA3086" w:rsidRPr="00CA3086" w:rsidRDefault="00CA3086" w:rsidP="00CA3086">
      <w:r w:rsidRPr="00CA3086">
        <w:rPr>
          <w:b/>
          <w:bCs/>
        </w:rPr>
        <w:t>3. Objective and pipeline controls.</w:t>
      </w:r>
      <w:r w:rsidRPr="00CA3086">
        <w:t xml:space="preserve"> With a batch size of four, the symmetric contrastive loss at initialisation was 1.4422, close to the theoretical value of ln</w:t>
      </w:r>
      <w:r w:rsidRPr="00CA3086">
        <w:rPr>
          <w:rFonts w:ascii="Cambria Math" w:hAnsi="Cambria Math" w:cs="Cambria Math"/>
        </w:rPr>
        <w:t>⁡</w:t>
      </w:r>
      <w:r w:rsidRPr="00CA3086">
        <w:t xml:space="preserve">4=1.3863\ln 4 = 1.3863 expected when the four candidates are not yet distinguishable. An untrained model achieved Recall@1 = 0.001 — the fraction of queries whose correct signal is ranked first; the retrieval metrics are defined formally in Section 3.3 — over 878 queries against 386 signal candidates, compared with a chance reference of approximately 0.0026. This provides evidence against obvious leakage through the retrieval pipeline. After training, the three runs converged comparably, with early stopping at epochs 21, 26, and 24. The trained model reached approximately 19 times the chance Recall@1 and eight times the chance MRR, establishing an above-chance </w:t>
      </w:r>
      <w:r w:rsidRPr="00CA3086">
        <w:lastRenderedPageBreak/>
        <w:t>retrieval capability for the later diagnostics to evaluate.</w:t>
      </w:r>
    </w:p>
    <w:p w14:paraId="0246C638" w14:textId="4C9E4EFE" w:rsidR="00CA3086" w:rsidRPr="00CA3086" w:rsidRDefault="00CA3086" w:rsidP="00CA3086">
      <w:r w:rsidRPr="00CA3086">
        <w:rPr>
          <w:b/>
          <w:bCs/>
        </w:rPr>
        <w:t>4. Behavioural reproduction of the published evaluation.</w:t>
      </w:r>
      <w:r w:rsidRPr="00CA3086">
        <w:t xml:space="preserve"> </w:t>
      </w:r>
      <w:r w:rsidR="00A34E6E" w:rsidRPr="00A34E6E">
        <w:t>The CLaSP paper reports TRUCE mAP@10 — mean average precision over the top ten retrieved signals under the paper's auxiliary text-similarity judge; see Sections 2.3 and 3.3 for the evaluation procedure and formal metric definition — under two text judges and two similarity thresholds. The published values range from 0.136 to 1.000. Applying the same four evaluation configurations to the reimplementation produced the following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1905"/>
        <w:gridCol w:w="1037"/>
        <w:gridCol w:w="1106"/>
      </w:tblGrid>
      <w:tr w:rsidR="00CA3086" w:rsidRPr="00CA3086" w14:paraId="754B517B" w14:textId="77777777">
        <w:trPr>
          <w:tblHeader/>
          <w:tblCellSpacing w:w="15" w:type="dxa"/>
        </w:trPr>
        <w:tc>
          <w:tcPr>
            <w:tcW w:w="0" w:type="auto"/>
            <w:vAlign w:val="center"/>
            <w:hideMark/>
          </w:tcPr>
          <w:p w14:paraId="702F1507" w14:textId="77777777" w:rsidR="00CA3086" w:rsidRPr="00CA3086" w:rsidRDefault="00CA3086" w:rsidP="00CA3086">
            <w:pPr>
              <w:rPr>
                <w:b/>
                <w:bCs/>
              </w:rPr>
            </w:pPr>
            <w:r w:rsidRPr="00CA3086">
              <w:rPr>
                <w:b/>
                <w:bCs/>
              </w:rPr>
              <w:t>Evaluation configuration</w:t>
            </w:r>
          </w:p>
        </w:tc>
        <w:tc>
          <w:tcPr>
            <w:tcW w:w="0" w:type="auto"/>
            <w:vAlign w:val="center"/>
            <w:hideMark/>
          </w:tcPr>
          <w:p w14:paraId="5946A0B5" w14:textId="77777777" w:rsidR="00CA3086" w:rsidRPr="00CA3086" w:rsidRDefault="00CA3086" w:rsidP="00CA3086">
            <w:pPr>
              <w:rPr>
                <w:b/>
                <w:bCs/>
              </w:rPr>
            </w:pPr>
            <w:r w:rsidRPr="00CA3086">
              <w:rPr>
                <w:b/>
                <w:bCs/>
              </w:rPr>
              <w:t>Reimplementation</w:t>
            </w:r>
          </w:p>
        </w:tc>
        <w:tc>
          <w:tcPr>
            <w:tcW w:w="0" w:type="auto"/>
            <w:vAlign w:val="center"/>
            <w:hideMark/>
          </w:tcPr>
          <w:p w14:paraId="05903791" w14:textId="77777777" w:rsidR="00CA3086" w:rsidRPr="00CA3086" w:rsidRDefault="00CA3086" w:rsidP="00CA3086">
            <w:pPr>
              <w:rPr>
                <w:b/>
                <w:bCs/>
              </w:rPr>
            </w:pPr>
            <w:r w:rsidRPr="00CA3086">
              <w:rPr>
                <w:b/>
                <w:bCs/>
              </w:rPr>
              <w:t>Published</w:t>
            </w:r>
          </w:p>
        </w:tc>
        <w:tc>
          <w:tcPr>
            <w:tcW w:w="0" w:type="auto"/>
            <w:vAlign w:val="center"/>
            <w:hideMark/>
          </w:tcPr>
          <w:p w14:paraId="08B07A2A" w14:textId="77777777" w:rsidR="00CA3086" w:rsidRPr="00CA3086" w:rsidRDefault="00CA3086" w:rsidP="00CA3086">
            <w:pPr>
              <w:rPr>
                <w:b/>
                <w:bCs/>
              </w:rPr>
            </w:pPr>
            <w:r w:rsidRPr="00CA3086">
              <w:rPr>
                <w:b/>
                <w:bCs/>
              </w:rPr>
              <w:t>Difference</w:t>
            </w:r>
          </w:p>
        </w:tc>
      </w:tr>
      <w:tr w:rsidR="00CA3086" w:rsidRPr="00CA3086" w14:paraId="33266031" w14:textId="77777777">
        <w:trPr>
          <w:tblCellSpacing w:w="15" w:type="dxa"/>
        </w:trPr>
        <w:tc>
          <w:tcPr>
            <w:tcW w:w="0" w:type="auto"/>
            <w:vAlign w:val="center"/>
            <w:hideMark/>
          </w:tcPr>
          <w:p w14:paraId="6581CCAC" w14:textId="77777777" w:rsidR="00CA3086" w:rsidRPr="00CA3086" w:rsidRDefault="00CA3086" w:rsidP="00CA3086">
            <w:r w:rsidRPr="00CA3086">
              <w:t>Sentence-BERT, ts=0.5t_s = 0.5</w:t>
            </w:r>
          </w:p>
        </w:tc>
        <w:tc>
          <w:tcPr>
            <w:tcW w:w="0" w:type="auto"/>
            <w:vAlign w:val="center"/>
            <w:hideMark/>
          </w:tcPr>
          <w:p w14:paraId="3F95DF64" w14:textId="77777777" w:rsidR="00CA3086" w:rsidRPr="00CA3086" w:rsidRDefault="00CA3086" w:rsidP="00CA3086">
            <w:r w:rsidRPr="00CA3086">
              <w:t>0.440</w:t>
            </w:r>
          </w:p>
        </w:tc>
        <w:tc>
          <w:tcPr>
            <w:tcW w:w="0" w:type="auto"/>
            <w:vAlign w:val="center"/>
            <w:hideMark/>
          </w:tcPr>
          <w:p w14:paraId="73A7D14C" w14:textId="77777777" w:rsidR="00CA3086" w:rsidRPr="00CA3086" w:rsidRDefault="00CA3086" w:rsidP="00CA3086">
            <w:r w:rsidRPr="00CA3086">
              <w:t>0.458</w:t>
            </w:r>
          </w:p>
        </w:tc>
        <w:tc>
          <w:tcPr>
            <w:tcW w:w="0" w:type="auto"/>
            <w:vAlign w:val="center"/>
            <w:hideMark/>
          </w:tcPr>
          <w:p w14:paraId="081545E0" w14:textId="77777777" w:rsidR="00CA3086" w:rsidRPr="00CA3086" w:rsidRDefault="00CA3086" w:rsidP="00CA3086">
            <w:r w:rsidRPr="00CA3086">
              <w:t>-0.018</w:t>
            </w:r>
          </w:p>
        </w:tc>
      </w:tr>
      <w:tr w:rsidR="00CA3086" w:rsidRPr="00CA3086" w14:paraId="1A3198EB" w14:textId="77777777">
        <w:trPr>
          <w:tblCellSpacing w:w="15" w:type="dxa"/>
        </w:trPr>
        <w:tc>
          <w:tcPr>
            <w:tcW w:w="0" w:type="auto"/>
            <w:vAlign w:val="center"/>
            <w:hideMark/>
          </w:tcPr>
          <w:p w14:paraId="62450C05" w14:textId="77777777" w:rsidR="00CA3086" w:rsidRPr="00CA3086" w:rsidRDefault="00CA3086" w:rsidP="00CA3086">
            <w:r w:rsidRPr="00CA3086">
              <w:t>Sentence-BERT, ts=0.8t_s = 0.8</w:t>
            </w:r>
          </w:p>
        </w:tc>
        <w:tc>
          <w:tcPr>
            <w:tcW w:w="0" w:type="auto"/>
            <w:vAlign w:val="center"/>
            <w:hideMark/>
          </w:tcPr>
          <w:p w14:paraId="0DEAFBF4" w14:textId="77777777" w:rsidR="00CA3086" w:rsidRPr="00CA3086" w:rsidRDefault="00CA3086" w:rsidP="00CA3086">
            <w:r w:rsidRPr="00CA3086">
              <w:t>0.105</w:t>
            </w:r>
          </w:p>
        </w:tc>
        <w:tc>
          <w:tcPr>
            <w:tcW w:w="0" w:type="auto"/>
            <w:vAlign w:val="center"/>
            <w:hideMark/>
          </w:tcPr>
          <w:p w14:paraId="0AD074D8" w14:textId="77777777" w:rsidR="00CA3086" w:rsidRPr="00CA3086" w:rsidRDefault="00CA3086" w:rsidP="00CA3086">
            <w:r w:rsidRPr="00CA3086">
              <w:t>0.136</w:t>
            </w:r>
          </w:p>
        </w:tc>
        <w:tc>
          <w:tcPr>
            <w:tcW w:w="0" w:type="auto"/>
            <w:vAlign w:val="center"/>
            <w:hideMark/>
          </w:tcPr>
          <w:p w14:paraId="7A1F3498" w14:textId="77777777" w:rsidR="00CA3086" w:rsidRPr="00CA3086" w:rsidRDefault="00CA3086" w:rsidP="00CA3086">
            <w:r w:rsidRPr="00CA3086">
              <w:t>-0.031</w:t>
            </w:r>
          </w:p>
        </w:tc>
      </w:tr>
      <w:tr w:rsidR="00CA3086" w:rsidRPr="00CA3086" w14:paraId="08853DE2" w14:textId="77777777">
        <w:trPr>
          <w:tblCellSpacing w:w="15" w:type="dxa"/>
        </w:trPr>
        <w:tc>
          <w:tcPr>
            <w:tcW w:w="0" w:type="auto"/>
            <w:vAlign w:val="center"/>
            <w:hideMark/>
          </w:tcPr>
          <w:p w14:paraId="7BC41FD9" w14:textId="77777777" w:rsidR="00CA3086" w:rsidRPr="00CA3086" w:rsidRDefault="00CA3086" w:rsidP="00CA3086">
            <w:r w:rsidRPr="00CA3086">
              <w:t>DistilBERT, ts=0.5t_s = 0.5</w:t>
            </w:r>
          </w:p>
        </w:tc>
        <w:tc>
          <w:tcPr>
            <w:tcW w:w="0" w:type="auto"/>
            <w:vAlign w:val="center"/>
            <w:hideMark/>
          </w:tcPr>
          <w:p w14:paraId="2E06B5AE" w14:textId="77777777" w:rsidR="00CA3086" w:rsidRPr="00CA3086" w:rsidRDefault="00CA3086" w:rsidP="00CA3086">
            <w:r w:rsidRPr="00CA3086">
              <w:t>0.997</w:t>
            </w:r>
          </w:p>
        </w:tc>
        <w:tc>
          <w:tcPr>
            <w:tcW w:w="0" w:type="auto"/>
            <w:vAlign w:val="center"/>
            <w:hideMark/>
          </w:tcPr>
          <w:p w14:paraId="527492C6" w14:textId="77777777" w:rsidR="00CA3086" w:rsidRPr="00CA3086" w:rsidRDefault="00CA3086" w:rsidP="00CA3086">
            <w:r w:rsidRPr="00CA3086">
              <w:t>1.000</w:t>
            </w:r>
          </w:p>
        </w:tc>
        <w:tc>
          <w:tcPr>
            <w:tcW w:w="0" w:type="auto"/>
            <w:vAlign w:val="center"/>
            <w:hideMark/>
          </w:tcPr>
          <w:p w14:paraId="5D2FA978" w14:textId="77777777" w:rsidR="00CA3086" w:rsidRPr="00CA3086" w:rsidRDefault="00CA3086" w:rsidP="00CA3086">
            <w:r w:rsidRPr="00CA3086">
              <w:t>-0.003</w:t>
            </w:r>
          </w:p>
        </w:tc>
      </w:tr>
      <w:tr w:rsidR="00CA3086" w:rsidRPr="00CA3086" w14:paraId="6EB7E139" w14:textId="77777777">
        <w:trPr>
          <w:tblCellSpacing w:w="15" w:type="dxa"/>
        </w:trPr>
        <w:tc>
          <w:tcPr>
            <w:tcW w:w="0" w:type="auto"/>
            <w:vAlign w:val="center"/>
            <w:hideMark/>
          </w:tcPr>
          <w:p w14:paraId="7AA3C00B" w14:textId="77777777" w:rsidR="00CA3086" w:rsidRPr="00CA3086" w:rsidRDefault="00CA3086" w:rsidP="00CA3086">
            <w:r w:rsidRPr="00CA3086">
              <w:t>DistilBERT, ts=0.8t_s = 0.8</w:t>
            </w:r>
          </w:p>
        </w:tc>
        <w:tc>
          <w:tcPr>
            <w:tcW w:w="0" w:type="auto"/>
            <w:vAlign w:val="center"/>
            <w:hideMark/>
          </w:tcPr>
          <w:p w14:paraId="770B67FE" w14:textId="77777777" w:rsidR="00CA3086" w:rsidRPr="00CA3086" w:rsidRDefault="00CA3086" w:rsidP="00CA3086">
            <w:r w:rsidRPr="00CA3086">
              <w:t>0.550</w:t>
            </w:r>
          </w:p>
        </w:tc>
        <w:tc>
          <w:tcPr>
            <w:tcW w:w="0" w:type="auto"/>
            <w:vAlign w:val="center"/>
            <w:hideMark/>
          </w:tcPr>
          <w:p w14:paraId="0BA1812C" w14:textId="77777777" w:rsidR="00CA3086" w:rsidRPr="00CA3086" w:rsidRDefault="00CA3086" w:rsidP="00CA3086">
            <w:r w:rsidRPr="00CA3086">
              <w:t>0.491</w:t>
            </w:r>
          </w:p>
        </w:tc>
        <w:tc>
          <w:tcPr>
            <w:tcW w:w="0" w:type="auto"/>
            <w:vAlign w:val="center"/>
            <w:hideMark/>
          </w:tcPr>
          <w:p w14:paraId="4DE53F3D" w14:textId="77777777" w:rsidR="00CA3086" w:rsidRPr="00CA3086" w:rsidRDefault="00CA3086" w:rsidP="00CA3086">
            <w:r w:rsidRPr="00CA3086">
              <w:t>+0.059</w:t>
            </w:r>
          </w:p>
        </w:tc>
      </w:tr>
    </w:tbl>
    <w:p w14:paraId="1F482E49" w14:textId="77777777" w:rsidR="00CA3086" w:rsidRPr="00CA3086" w:rsidRDefault="00CA3086" w:rsidP="00CA3086">
      <w:r w:rsidRPr="00CA3086">
        <w:t>The maximum absolute difference is 0.059. More importantly for behavioural validation, the reimplementation reproduces the large change across judge and threshold settings, including the near-saturated score under the DistilBERT ts=0.5t_s = 0.5 configuration. Across the three training seeds, the Sentence-BERT ts=0.5t_s = 0.5 score was 0.448 ± 0.020, with individual values from 0.433 to 0.470. The published value of 0.458 lies within this observed range. For this configuration, the difference between the published value and the reimplementation is therefore smaller than the variation produced by retraining the reimplementation with a different seed.</w:t>
      </w:r>
    </w:p>
    <w:p w14:paraId="2F24739F" w14:textId="77777777" w:rsidR="00CA3086" w:rsidRPr="00CA3086" w:rsidRDefault="00CA3086" w:rsidP="00CA3086">
      <w:r w:rsidRPr="00CA3086">
        <w:rPr>
          <w:b/>
          <w:bCs/>
        </w:rPr>
        <w:t>5. Remaining discrepancies.</w:t>
      </w:r>
      <w:r w:rsidRPr="00CA3086">
        <w:t xml:space="preserve"> Two differences in evaluation conditions account for the main departures from the published results. First, this thesis uses SUSHI-Tiny because SUSHI-Base is not publicly available. Under an 8:1:1 split, Tiny contains one test signal per class, whereas Base would contain roughly one hundred. Because signals within a class are paired with closely related template-based descriptions, the larger setting provides many more caption-similar candidates that may be accepted by the paper's soft matching metric. This led to a prediction made before measurement: the difference from the published SUSHI result should increase when the auxiliary judge uses a stricter similarity threshold. The observed gap increased from 0.128 at ts=0.5t_s = 0.5 to 0.265 at ts=0.8t_s = 0.8, consistent with that prediction.</w:t>
      </w:r>
    </w:p>
    <w:p w14:paraId="24747115" w14:textId="77777777" w:rsidR="00CA3086" w:rsidRPr="00CA3086" w:rsidRDefault="00CA3086" w:rsidP="00CA3086">
      <w:r w:rsidRPr="00CA3086">
        <w:t xml:space="preserve">Second, the combined TRUCE + SUSHI row reported in the CLaSP paper cannot be reconstructed as a query-weighted average of its reported per-dataset rows. The implied TRUCE query share differs across the four evaluation columns (5.3%, 3.4%, 6.4%, and 2.2%), and one column reports a combined value of 0.959 despite both constituent values being 1.000. </w:t>
      </w:r>
      <w:r w:rsidRPr="00CA3086">
        <w:lastRenderedPageBreak/>
        <w:t>The combined row is therefore treated as a separate, insufficiently specified experiment and is not used as a reproduction target. A third issue concerns the saturated DistilBERT ts=0.5t_s = 0.5 configuration and is analysed separately in Section 2.3.</w:t>
      </w:r>
    </w:p>
    <w:p w14:paraId="2222EFB3" w14:textId="77777777" w:rsidR="00CA3086" w:rsidRPr="00CA3086" w:rsidRDefault="00CA3086" w:rsidP="00CA3086">
      <w:r w:rsidRPr="00CA3086">
        <w:t>Two implementation deviations are relevant to the scope of the reimplementation. First, full attention is used in place of Informer's ProbSparse attention, and Informer's distilling layers are omitted. Informer was designed in part to reduce the quadratic time and memory cost of standard attention, whereas the maximum sequence length used here is 2,048 and permits full attention within the available compute budget. These substitutions remain architectural deviations from the published model and are treated as such. Second, SUSHI-Tiny is used in place of the Base release implied by the dataset naming convention, as discussed above.</w:t>
      </w:r>
    </w:p>
    <w:p w14:paraId="31525AEE" w14:textId="77777777" w:rsidR="00CA3086" w:rsidRPr="00CA3086" w:rsidRDefault="00CA3086" w:rsidP="00CA3086">
      <w:r w:rsidRPr="00CA3086">
        <w:t>These differences limit the extent to which the reimplementation can be identified with the authors' original artefact, but they do not prevent it from serving as the object of study in the diagnostic experiments. The later diagnostics compare perturbed conditions with the same reimplementation's own frozen baseline, rather than transferring absolute conclusions from the published model. Claims about CLaSP in this thesis therefore refer to this validated reimplementation of the published dual-encoder design, not to the unreleased authors' weights.</w:t>
      </w:r>
    </w:p>
    <w:p w14:paraId="3F771914" w14:textId="77777777" w:rsidR="00CA3086" w:rsidRPr="00CA3086" w:rsidRDefault="00CA3086" w:rsidP="00CA3086">
      <w:r w:rsidRPr="00CA3086">
        <w:t>For the frozen baseline, Recall@k is the fraction of queries whose ground-truth signal appears among the top kk ranked candidates, and MRR is the mean reciprocal rank of the ground-truth signal; both metrics are defined formally in Section 3.3. The frozen baseline for all subsequent CLaSP diagnostics is the mean ± standard deviation across seeds 42, 43, and 44 under strict pair-level retrieval over 878 caption queries and 386 signal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366"/>
      </w:tblGrid>
      <w:tr w:rsidR="00CA3086" w:rsidRPr="00CA3086" w14:paraId="0D224407" w14:textId="77777777">
        <w:trPr>
          <w:tblHeader/>
          <w:tblCellSpacing w:w="15" w:type="dxa"/>
        </w:trPr>
        <w:tc>
          <w:tcPr>
            <w:tcW w:w="0" w:type="auto"/>
            <w:vAlign w:val="center"/>
            <w:hideMark/>
          </w:tcPr>
          <w:p w14:paraId="5709EC15" w14:textId="77777777" w:rsidR="00CA3086" w:rsidRPr="00CA3086" w:rsidRDefault="00CA3086" w:rsidP="00CA3086">
            <w:pPr>
              <w:rPr>
                <w:b/>
                <w:bCs/>
              </w:rPr>
            </w:pPr>
            <w:r w:rsidRPr="00CA3086">
              <w:rPr>
                <w:b/>
                <w:bCs/>
              </w:rPr>
              <w:t>Metric</w:t>
            </w:r>
          </w:p>
        </w:tc>
        <w:tc>
          <w:tcPr>
            <w:tcW w:w="0" w:type="auto"/>
            <w:vAlign w:val="center"/>
            <w:hideMark/>
          </w:tcPr>
          <w:p w14:paraId="32B2B6F9" w14:textId="77777777" w:rsidR="00CA3086" w:rsidRPr="00CA3086" w:rsidRDefault="00CA3086" w:rsidP="00CA3086">
            <w:pPr>
              <w:rPr>
                <w:b/>
                <w:bCs/>
              </w:rPr>
            </w:pPr>
            <w:r w:rsidRPr="00CA3086">
              <w:rPr>
                <w:b/>
                <w:bCs/>
              </w:rPr>
              <w:t>Value</w:t>
            </w:r>
          </w:p>
        </w:tc>
      </w:tr>
      <w:tr w:rsidR="00CA3086" w:rsidRPr="00CA3086" w14:paraId="4AFA2987" w14:textId="77777777">
        <w:trPr>
          <w:tblCellSpacing w:w="15" w:type="dxa"/>
        </w:trPr>
        <w:tc>
          <w:tcPr>
            <w:tcW w:w="0" w:type="auto"/>
            <w:vAlign w:val="center"/>
            <w:hideMark/>
          </w:tcPr>
          <w:p w14:paraId="769884A6" w14:textId="77777777" w:rsidR="00CA3086" w:rsidRPr="00CA3086" w:rsidRDefault="00CA3086" w:rsidP="00CA3086">
            <w:r w:rsidRPr="00CA3086">
              <w:t>Recall@1</w:t>
            </w:r>
          </w:p>
        </w:tc>
        <w:tc>
          <w:tcPr>
            <w:tcW w:w="0" w:type="auto"/>
            <w:vAlign w:val="center"/>
            <w:hideMark/>
          </w:tcPr>
          <w:p w14:paraId="5425D8C7" w14:textId="77777777" w:rsidR="00CA3086" w:rsidRPr="00CA3086" w:rsidRDefault="00CA3086" w:rsidP="00CA3086">
            <w:r w:rsidRPr="00CA3086">
              <w:t>0.049 ± 0.006</w:t>
            </w:r>
          </w:p>
        </w:tc>
      </w:tr>
      <w:tr w:rsidR="00CA3086" w:rsidRPr="00CA3086" w14:paraId="06C70EF1" w14:textId="77777777">
        <w:trPr>
          <w:tblCellSpacing w:w="15" w:type="dxa"/>
        </w:trPr>
        <w:tc>
          <w:tcPr>
            <w:tcW w:w="0" w:type="auto"/>
            <w:vAlign w:val="center"/>
            <w:hideMark/>
          </w:tcPr>
          <w:p w14:paraId="7A17F4B5" w14:textId="77777777" w:rsidR="00CA3086" w:rsidRPr="00CA3086" w:rsidRDefault="00CA3086" w:rsidP="00CA3086">
            <w:r w:rsidRPr="00CA3086">
              <w:t>Recall@5</w:t>
            </w:r>
          </w:p>
        </w:tc>
        <w:tc>
          <w:tcPr>
            <w:tcW w:w="0" w:type="auto"/>
            <w:vAlign w:val="center"/>
            <w:hideMark/>
          </w:tcPr>
          <w:p w14:paraId="0413CDB3" w14:textId="77777777" w:rsidR="00CA3086" w:rsidRPr="00CA3086" w:rsidRDefault="00CA3086" w:rsidP="00CA3086">
            <w:r w:rsidRPr="00CA3086">
              <w:t>0.221 ± 0.010</w:t>
            </w:r>
          </w:p>
        </w:tc>
      </w:tr>
      <w:tr w:rsidR="00CA3086" w:rsidRPr="00CA3086" w14:paraId="3A688AE4" w14:textId="77777777">
        <w:trPr>
          <w:tblCellSpacing w:w="15" w:type="dxa"/>
        </w:trPr>
        <w:tc>
          <w:tcPr>
            <w:tcW w:w="0" w:type="auto"/>
            <w:vAlign w:val="center"/>
            <w:hideMark/>
          </w:tcPr>
          <w:p w14:paraId="1D94EEE5" w14:textId="77777777" w:rsidR="00CA3086" w:rsidRPr="00CA3086" w:rsidRDefault="00CA3086" w:rsidP="00CA3086">
            <w:r w:rsidRPr="00CA3086">
              <w:t>Recall@10</w:t>
            </w:r>
          </w:p>
        </w:tc>
        <w:tc>
          <w:tcPr>
            <w:tcW w:w="0" w:type="auto"/>
            <w:vAlign w:val="center"/>
            <w:hideMark/>
          </w:tcPr>
          <w:p w14:paraId="759D9BA2" w14:textId="77777777" w:rsidR="00CA3086" w:rsidRPr="00CA3086" w:rsidRDefault="00CA3086" w:rsidP="00CA3086">
            <w:r w:rsidRPr="00CA3086">
              <w:t>0.331 ± 0.012</w:t>
            </w:r>
          </w:p>
        </w:tc>
      </w:tr>
      <w:tr w:rsidR="00CA3086" w:rsidRPr="00CA3086" w14:paraId="761F3F71" w14:textId="77777777">
        <w:trPr>
          <w:tblCellSpacing w:w="15" w:type="dxa"/>
        </w:trPr>
        <w:tc>
          <w:tcPr>
            <w:tcW w:w="0" w:type="auto"/>
            <w:vAlign w:val="center"/>
            <w:hideMark/>
          </w:tcPr>
          <w:p w14:paraId="57A51C2D" w14:textId="77777777" w:rsidR="00CA3086" w:rsidRPr="00CA3086" w:rsidRDefault="00CA3086" w:rsidP="00CA3086">
            <w:r w:rsidRPr="00CA3086">
              <w:t>MRR</w:t>
            </w:r>
          </w:p>
        </w:tc>
        <w:tc>
          <w:tcPr>
            <w:tcW w:w="0" w:type="auto"/>
            <w:vAlign w:val="center"/>
            <w:hideMark/>
          </w:tcPr>
          <w:p w14:paraId="7436D1E5" w14:textId="77777777" w:rsidR="00CA3086" w:rsidRPr="00CA3086" w:rsidRDefault="00CA3086" w:rsidP="00CA3086">
            <w:r w:rsidRPr="00CA3086">
              <w:t>0.141 ± 0.008</w:t>
            </w:r>
          </w:p>
        </w:tc>
      </w:tr>
      <w:tr w:rsidR="00CA3086" w:rsidRPr="00CA3086" w14:paraId="533D082C" w14:textId="77777777">
        <w:trPr>
          <w:tblCellSpacing w:w="15" w:type="dxa"/>
        </w:trPr>
        <w:tc>
          <w:tcPr>
            <w:tcW w:w="0" w:type="auto"/>
            <w:vAlign w:val="center"/>
            <w:hideMark/>
          </w:tcPr>
          <w:p w14:paraId="27D1B8A1" w14:textId="77777777" w:rsidR="00CA3086" w:rsidRPr="00CA3086" w:rsidRDefault="00CA3086" w:rsidP="00CA3086">
            <w:r w:rsidRPr="00CA3086">
              <w:t>MRR, TRUCE only</w:t>
            </w:r>
          </w:p>
        </w:tc>
        <w:tc>
          <w:tcPr>
            <w:tcW w:w="0" w:type="auto"/>
            <w:vAlign w:val="center"/>
            <w:hideMark/>
          </w:tcPr>
          <w:p w14:paraId="33A4C597" w14:textId="77777777" w:rsidR="00CA3086" w:rsidRPr="00CA3086" w:rsidRDefault="00CA3086" w:rsidP="00CA3086">
            <w:r w:rsidRPr="00CA3086">
              <w:t>0.105 ± 0.004</w:t>
            </w:r>
          </w:p>
        </w:tc>
      </w:tr>
      <w:tr w:rsidR="00CA3086" w:rsidRPr="00CA3086" w14:paraId="0834CC8D" w14:textId="77777777">
        <w:trPr>
          <w:tblCellSpacing w:w="15" w:type="dxa"/>
        </w:trPr>
        <w:tc>
          <w:tcPr>
            <w:tcW w:w="0" w:type="auto"/>
            <w:vAlign w:val="center"/>
            <w:hideMark/>
          </w:tcPr>
          <w:p w14:paraId="676F636A" w14:textId="77777777" w:rsidR="00CA3086" w:rsidRPr="00CA3086" w:rsidRDefault="00CA3086" w:rsidP="00CA3086">
            <w:r w:rsidRPr="00CA3086">
              <w:t>MRR, SUSHI only</w:t>
            </w:r>
          </w:p>
        </w:tc>
        <w:tc>
          <w:tcPr>
            <w:tcW w:w="0" w:type="auto"/>
            <w:vAlign w:val="center"/>
            <w:hideMark/>
          </w:tcPr>
          <w:p w14:paraId="3745B4C5" w14:textId="77777777" w:rsidR="00CA3086" w:rsidRPr="00CA3086" w:rsidRDefault="00CA3086" w:rsidP="00CA3086">
            <w:r w:rsidRPr="00CA3086">
              <w:t>0.328 ± 0.035</w:t>
            </w:r>
          </w:p>
        </w:tc>
      </w:tr>
    </w:tbl>
    <w:p w14:paraId="6C97EEAC" w14:textId="77777777" w:rsidR="00CA3086" w:rsidRPr="00CA3086" w:rsidRDefault="00CA3086" w:rsidP="00CA3086">
      <w:r w:rsidRPr="00CA3086">
        <w:t>The variation across these three seeds provides the empirical noise reference used later when selecting and interpreting the primary retrieval metrics in Chapter 3.</w:t>
      </w:r>
    </w:p>
    <w:p w14:paraId="3963B95F" w14:textId="77777777" w:rsidR="00E23FA3" w:rsidRPr="00CA3086" w:rsidRDefault="00E23FA3"/>
    <w:sectPr w:rsidR="00E23FA3" w:rsidRPr="00CA308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FA3"/>
    <w:rsid w:val="003A7E1B"/>
    <w:rsid w:val="00A34E6E"/>
    <w:rsid w:val="00B12010"/>
    <w:rsid w:val="00CA3086"/>
    <w:rsid w:val="00E23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1A8B"/>
  <w15:chartTrackingRefBased/>
  <w15:docId w15:val="{AF1C547E-5A43-466D-8A47-008708AC9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3FA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3FA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3FA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3FA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3FA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3FA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3F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F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3F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FA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3FA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3FA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3FA3"/>
    <w:rPr>
      <w:rFonts w:cstheme="majorBidi"/>
      <w:color w:val="2F5496" w:themeColor="accent1" w:themeShade="BF"/>
      <w:sz w:val="28"/>
      <w:szCs w:val="28"/>
    </w:rPr>
  </w:style>
  <w:style w:type="character" w:customStyle="1" w:styleId="50">
    <w:name w:val="标题 5 字符"/>
    <w:basedOn w:val="a0"/>
    <w:link w:val="5"/>
    <w:uiPriority w:val="9"/>
    <w:semiHidden/>
    <w:rsid w:val="00E23FA3"/>
    <w:rPr>
      <w:rFonts w:cstheme="majorBidi"/>
      <w:color w:val="2F5496" w:themeColor="accent1" w:themeShade="BF"/>
      <w:sz w:val="24"/>
    </w:rPr>
  </w:style>
  <w:style w:type="character" w:customStyle="1" w:styleId="60">
    <w:name w:val="标题 6 字符"/>
    <w:basedOn w:val="a0"/>
    <w:link w:val="6"/>
    <w:uiPriority w:val="9"/>
    <w:semiHidden/>
    <w:rsid w:val="00E23FA3"/>
    <w:rPr>
      <w:rFonts w:cstheme="majorBidi"/>
      <w:b/>
      <w:bCs/>
      <w:color w:val="2F5496" w:themeColor="accent1" w:themeShade="BF"/>
    </w:rPr>
  </w:style>
  <w:style w:type="character" w:customStyle="1" w:styleId="70">
    <w:name w:val="标题 7 字符"/>
    <w:basedOn w:val="a0"/>
    <w:link w:val="7"/>
    <w:uiPriority w:val="9"/>
    <w:semiHidden/>
    <w:rsid w:val="00E23FA3"/>
    <w:rPr>
      <w:rFonts w:cstheme="majorBidi"/>
      <w:b/>
      <w:bCs/>
      <w:color w:val="595959" w:themeColor="text1" w:themeTint="A6"/>
    </w:rPr>
  </w:style>
  <w:style w:type="character" w:customStyle="1" w:styleId="80">
    <w:name w:val="标题 8 字符"/>
    <w:basedOn w:val="a0"/>
    <w:link w:val="8"/>
    <w:uiPriority w:val="9"/>
    <w:semiHidden/>
    <w:rsid w:val="00E23FA3"/>
    <w:rPr>
      <w:rFonts w:cstheme="majorBidi"/>
      <w:color w:val="595959" w:themeColor="text1" w:themeTint="A6"/>
    </w:rPr>
  </w:style>
  <w:style w:type="character" w:customStyle="1" w:styleId="90">
    <w:name w:val="标题 9 字符"/>
    <w:basedOn w:val="a0"/>
    <w:link w:val="9"/>
    <w:uiPriority w:val="9"/>
    <w:semiHidden/>
    <w:rsid w:val="00E23FA3"/>
    <w:rPr>
      <w:rFonts w:eastAsiaTheme="majorEastAsia" w:cstheme="majorBidi"/>
      <w:color w:val="595959" w:themeColor="text1" w:themeTint="A6"/>
    </w:rPr>
  </w:style>
  <w:style w:type="paragraph" w:styleId="a3">
    <w:name w:val="Title"/>
    <w:basedOn w:val="a"/>
    <w:next w:val="a"/>
    <w:link w:val="a4"/>
    <w:uiPriority w:val="10"/>
    <w:qFormat/>
    <w:rsid w:val="00E23F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F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F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F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FA3"/>
    <w:pPr>
      <w:spacing w:before="160"/>
      <w:jc w:val="center"/>
    </w:pPr>
    <w:rPr>
      <w:i/>
      <w:iCs/>
      <w:color w:val="404040" w:themeColor="text1" w:themeTint="BF"/>
    </w:rPr>
  </w:style>
  <w:style w:type="character" w:customStyle="1" w:styleId="a8">
    <w:name w:val="引用 字符"/>
    <w:basedOn w:val="a0"/>
    <w:link w:val="a7"/>
    <w:uiPriority w:val="29"/>
    <w:rsid w:val="00E23FA3"/>
    <w:rPr>
      <w:i/>
      <w:iCs/>
      <w:color w:val="404040" w:themeColor="text1" w:themeTint="BF"/>
    </w:rPr>
  </w:style>
  <w:style w:type="paragraph" w:styleId="a9">
    <w:name w:val="List Paragraph"/>
    <w:basedOn w:val="a"/>
    <w:uiPriority w:val="34"/>
    <w:qFormat/>
    <w:rsid w:val="00E23FA3"/>
    <w:pPr>
      <w:ind w:left="720"/>
      <w:contextualSpacing/>
    </w:pPr>
  </w:style>
  <w:style w:type="character" w:styleId="aa">
    <w:name w:val="Intense Emphasis"/>
    <w:basedOn w:val="a0"/>
    <w:uiPriority w:val="21"/>
    <w:qFormat/>
    <w:rsid w:val="00E23FA3"/>
    <w:rPr>
      <w:i/>
      <w:iCs/>
      <w:color w:val="2F5496" w:themeColor="accent1" w:themeShade="BF"/>
    </w:rPr>
  </w:style>
  <w:style w:type="paragraph" w:styleId="ab">
    <w:name w:val="Intense Quote"/>
    <w:basedOn w:val="a"/>
    <w:next w:val="a"/>
    <w:link w:val="ac"/>
    <w:uiPriority w:val="30"/>
    <w:qFormat/>
    <w:rsid w:val="00E23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3FA3"/>
    <w:rPr>
      <w:i/>
      <w:iCs/>
      <w:color w:val="2F5496" w:themeColor="accent1" w:themeShade="BF"/>
    </w:rPr>
  </w:style>
  <w:style w:type="character" w:styleId="ad">
    <w:name w:val="Intense Reference"/>
    <w:basedOn w:val="a0"/>
    <w:uiPriority w:val="32"/>
    <w:qFormat/>
    <w:rsid w:val="00E23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1181</Words>
  <Characters>6733</Characters>
  <Application>Microsoft Office Word</Application>
  <DocSecurity>0</DocSecurity>
  <Lines>56</Lines>
  <Paragraphs>15</Paragraphs>
  <ScaleCrop>false</ScaleCrop>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4</cp:revision>
  <dcterms:created xsi:type="dcterms:W3CDTF">2026-09-04T09:40:00Z</dcterms:created>
  <dcterms:modified xsi:type="dcterms:W3CDTF">2026-09-04T09:42:00Z</dcterms:modified>
</cp:coreProperties>
</file>