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28E4D" w14:textId="77777777" w:rsidR="00E67E9D" w:rsidRPr="00E67E9D" w:rsidRDefault="00E67E9D" w:rsidP="00E67E9D">
      <w:pPr>
        <w:rPr>
          <w:b/>
          <w:bCs/>
        </w:rPr>
      </w:pPr>
      <w:r w:rsidRPr="00E67E9D">
        <w:rPr>
          <w:b/>
          <w:bCs/>
        </w:rPr>
        <w:t>3.7 Statistical analysis and verdict vocabulary</w:t>
      </w:r>
    </w:p>
    <w:p w14:paraId="58C9EBD6" w14:textId="77777777" w:rsidR="00E67E9D" w:rsidRPr="00E67E9D" w:rsidRDefault="00E67E9D" w:rsidP="00E67E9D">
      <w:r w:rsidRPr="00E67E9D">
        <w:t xml:space="preserve">The statistical analysis separates three questions that are easy to conflate. First, </w:t>
      </w:r>
      <w:r w:rsidRPr="00E67E9D">
        <w:rPr>
          <w:b/>
          <w:bCs/>
        </w:rPr>
        <w:t>did the perturbation change performance?</w:t>
      </w:r>
      <w:r w:rsidRPr="00E67E9D">
        <w:t xml:space="preserve"> Second, </w:t>
      </w:r>
      <w:r w:rsidRPr="00E67E9D">
        <w:rPr>
          <w:b/>
          <w:bCs/>
        </w:rPr>
        <w:t>how large is that change and how uncertain is the estimate?</w:t>
      </w:r>
      <w:r w:rsidRPr="00E67E9D">
        <w:t xml:space="preserve"> Third, when the observed change is small, </w:t>
      </w:r>
      <w:r w:rsidRPr="00E67E9D">
        <w:rPr>
          <w:b/>
          <w:bCs/>
        </w:rPr>
        <w:t>is there enough evidence to treat it as practically negligible?</w:t>
      </w:r>
      <w:r w:rsidRPr="00E67E9D">
        <w:t xml:space="preserve"> A non-significant test answers only the first question. It does not by itself establish that two conditions are equivalent. The analysis therefore combines paired tests, confidence intervals, and explicit equivalence tests.</w:t>
      </w:r>
    </w:p>
    <w:p w14:paraId="55695A5A" w14:textId="77777777" w:rsidR="00E67E9D" w:rsidRPr="00E67E9D" w:rsidRDefault="00E67E9D" w:rsidP="00E67E9D">
      <w:pPr>
        <w:rPr>
          <w:b/>
          <w:bCs/>
        </w:rPr>
      </w:pPr>
      <w:r w:rsidRPr="00E67E9D">
        <w:rPr>
          <w:b/>
          <w:bCs/>
        </w:rPr>
        <w:t>Unit of uncertainty and bootstrap intervals</w:t>
      </w:r>
    </w:p>
    <w:p w14:paraId="45BC1C8A" w14:textId="77777777" w:rsidR="00E67E9D" w:rsidRPr="00E67E9D" w:rsidRDefault="00E67E9D" w:rsidP="00E67E9D">
      <w:r w:rsidRPr="00E67E9D">
        <w:t>Many evaluated items are not statistically independent. Diagnostic 1 generates multiple swap items from the same underlying signal, and one TRUCE signal is associated with three captions. Resampling these items as though they came from different signals would overstate the effective sample size.</w:t>
      </w:r>
    </w:p>
    <w:p w14:paraId="5C9FBEE9" w14:textId="77777777" w:rsidR="00E67E9D" w:rsidRPr="00E67E9D" w:rsidRDefault="00E67E9D" w:rsidP="00E67E9D">
      <w:r w:rsidRPr="00E67E9D">
        <w:t xml:space="preserve">The </w:t>
      </w:r>
      <w:r w:rsidRPr="00E67E9D">
        <w:rPr>
          <w:b/>
          <w:bCs/>
        </w:rPr>
        <w:t>signal</w:t>
      </w:r>
      <w:r w:rsidRPr="00E67E9D">
        <w:t xml:space="preserve"> is therefore the clustering and bootstrap unit. A bootstrap sample draws signals with replacement and then includes all diagnostic items or queries belonging to each selected signal. The same principle is used when uncertainty is estimated for a difference-in-differences: resampling is performed at signal level within the relevant groups.</w:t>
      </w:r>
    </w:p>
    <w:p w14:paraId="776BD63F" w14:textId="77777777" w:rsidR="00E67E9D" w:rsidRPr="00E67E9D" w:rsidRDefault="00E67E9D" w:rsidP="00E67E9D">
      <w:r w:rsidRPr="00E67E9D">
        <w:t>For TRACE, one row of the released test set corresponds to one multivariate signal, so row-level resampling implements the same rule. One dependence remains outside this bootstrap design: changing the candidate pool affects the rankings of many queries simultaneously. The row-level bootstrap does not model this pool-wide dependence, and this is treated as a limitation of the uncertainty estimates rather than as independence that has been established.</w:t>
      </w:r>
    </w:p>
    <w:p w14:paraId="7F071469" w14:textId="77777777" w:rsidR="00E67E9D" w:rsidRPr="00E67E9D" w:rsidRDefault="00E67E9D" w:rsidP="00E67E9D">
      <w:r w:rsidRPr="00E67E9D">
        <w:t xml:space="preserve">Unless an equivalence test is being performed, reported intervals are </w:t>
      </w:r>
      <w:r w:rsidRPr="00E67E9D">
        <w:rPr>
          <w:b/>
          <w:bCs/>
        </w:rPr>
        <w:t>95% percentile-bootstrap confidence intervals</w:t>
      </w:r>
      <w:r w:rsidRPr="00E67E9D">
        <w:t>. Equivalence uses 90% intervals, as explained below. The committed analysis scripts use either 2,000 or 10,000 bootstrap replicates depending on the model arm and diagnostic; the exact configuration and random seed for each analysis are listed in Appendix D.</w:t>
      </w:r>
    </w:p>
    <w:p w14:paraId="4DA70524" w14:textId="77777777" w:rsidR="00E67E9D" w:rsidRPr="00E67E9D" w:rsidRDefault="00E67E9D" w:rsidP="00E67E9D">
      <w:pPr>
        <w:rPr>
          <w:b/>
          <w:bCs/>
        </w:rPr>
      </w:pPr>
      <w:r w:rsidRPr="00E67E9D">
        <w:rPr>
          <w:b/>
          <w:bCs/>
        </w:rPr>
        <w:t>Paired tests</w:t>
      </w:r>
    </w:p>
    <w:p w14:paraId="1B7D1FCE" w14:textId="77777777" w:rsidR="00E67E9D" w:rsidRPr="00E67E9D" w:rsidRDefault="00E67E9D" w:rsidP="00E67E9D">
      <w:r w:rsidRPr="00E67E9D">
        <w:t>The interventions in this thesis are paired by construction. The same underlying signal or item is observed under two controlled conditions, so the statistical tests compare those paired outcomes rather than treating the conditions as independent samples.</w:t>
      </w:r>
    </w:p>
    <w:p w14:paraId="2A39E0A1" w14:textId="77777777" w:rsidR="00E67E9D" w:rsidRPr="00E67E9D" w:rsidRDefault="00E67E9D" w:rsidP="00E67E9D">
      <w:r w:rsidRPr="00E67E9D">
        <w:t xml:space="preserve">The primary non-parametric test is the </w:t>
      </w:r>
      <w:r w:rsidRPr="00E67E9D">
        <w:rPr>
          <w:b/>
          <w:bCs/>
        </w:rPr>
        <w:t>Wilcoxon signed-rank test</w:t>
      </w:r>
      <w:r w:rsidRPr="00E67E9D">
        <w:t>. The paired quantity depends on the diagnostic and model interface:</w:t>
      </w:r>
    </w:p>
    <w:p w14:paraId="096B3C36" w14:textId="77777777" w:rsidR="00E67E9D" w:rsidRPr="00E67E9D" w:rsidRDefault="00E67E9D" w:rsidP="00E67E9D">
      <w:pPr>
        <w:numPr>
          <w:ilvl w:val="0"/>
          <w:numId w:val="1"/>
        </w:numPr>
      </w:pPr>
      <w:r w:rsidRPr="00E67E9D">
        <w:t xml:space="preserve">In </w:t>
      </w:r>
      <w:r w:rsidRPr="00E67E9D">
        <w:rPr>
          <w:b/>
          <w:bCs/>
        </w:rPr>
        <w:t>Diagnostic 1</w:t>
      </w:r>
      <w:r w:rsidRPr="00E67E9D">
        <w:t>, the test compares per-signal performance under the component-swap condition with performance under its matched random-distractor condition.</w:t>
      </w:r>
    </w:p>
    <w:p w14:paraId="71F18E2C" w14:textId="77777777" w:rsidR="00E67E9D" w:rsidRPr="00E67E9D" w:rsidRDefault="00E67E9D" w:rsidP="00E67E9D">
      <w:pPr>
        <w:numPr>
          <w:ilvl w:val="0"/>
          <w:numId w:val="1"/>
        </w:numPr>
      </w:pPr>
      <w:r w:rsidRPr="00E67E9D">
        <w:lastRenderedPageBreak/>
        <w:t xml:space="preserve">In </w:t>
      </w:r>
      <w:r w:rsidRPr="00E67E9D">
        <w:rPr>
          <w:b/>
          <w:bCs/>
        </w:rPr>
        <w:t>Diagnostics 2 and 3</w:t>
      </w:r>
      <w:r w:rsidRPr="00E67E9D">
        <w:t>, retrieval models compare the ground-truth retrieval outcome for the same query before and after perturbation. CLaSP analyses use reciprocal-rank differences, whereas TRACE analyses use rank differences. These choices are recorded per arm in Appendix B because rank and reciprocal rank are different transformations and need not produce the same signed-rank result.</w:t>
      </w:r>
    </w:p>
    <w:p w14:paraId="5AE834C7" w14:textId="77777777" w:rsidR="00E67E9D" w:rsidRPr="00E67E9D" w:rsidRDefault="00E67E9D" w:rsidP="00E67E9D">
      <w:pPr>
        <w:numPr>
          <w:ilvl w:val="0"/>
          <w:numId w:val="1"/>
        </w:numPr>
      </w:pPr>
      <w:r w:rsidRPr="00E67E9D">
        <w:t xml:space="preserve">For </w:t>
      </w:r>
      <w:r w:rsidRPr="00E67E9D">
        <w:rPr>
          <w:b/>
          <w:bCs/>
        </w:rPr>
        <w:t>ChatTS</w:t>
      </w:r>
      <w:r w:rsidRPr="00E67E9D">
        <w:t>, the paired quantity is the per-item difference in order-averaged forced-choice accuracy.</w:t>
      </w:r>
    </w:p>
    <w:p w14:paraId="193DADCE" w14:textId="77777777" w:rsidR="00E67E9D" w:rsidRPr="00E67E9D" w:rsidRDefault="00E67E9D" w:rsidP="00E67E9D">
      <w:r w:rsidRPr="00E67E9D">
        <w:t xml:space="preserve">ChatTS additionally reports a </w:t>
      </w:r>
      <w:r w:rsidRPr="00E67E9D">
        <w:rPr>
          <w:b/>
          <w:bCs/>
        </w:rPr>
        <w:t>McNemar test</w:t>
      </w:r>
      <w:r w:rsidRPr="00E67E9D">
        <w:t xml:space="preserve"> as a secondary check. For this test, an item is counted as correct only when the correct description is selected in both answer orders. The test then considers only items whose binary correctness changes between the two compared conditions and uses the exact binomial form. The two answer orders are not treated as separate observations because they belong to the same item and are therefore correlated.</w:t>
      </w:r>
    </w:p>
    <w:p w14:paraId="6E4186CF" w14:textId="77777777" w:rsidR="00E67E9D" w:rsidRPr="00E67E9D" w:rsidRDefault="00E67E9D" w:rsidP="00E67E9D">
      <w:r w:rsidRPr="00E67E9D">
        <w:t xml:space="preserve">When several related hypotheses are tested together, multiplicity is controlled using the </w:t>
      </w:r>
      <w:r w:rsidRPr="00E67E9D">
        <w:rPr>
          <w:b/>
          <w:bCs/>
        </w:rPr>
        <w:t>Holm–Bonferroni procedure</w:t>
      </w:r>
      <w:r w:rsidRPr="00E67E9D">
        <w:t xml:space="preserve"> within the predefined family for that analysis. These families correspond, as applicable, to the component comparisons in Diagnostic 1, the perturbation comparisons in Diagnostic 2, and the planned rung contrasts in Diagnostic 3. Correction is applied within each replicate rather than by treating the small number of replicates as the statistical sample.</w:t>
      </w:r>
    </w:p>
    <w:p w14:paraId="62DD9E45" w14:textId="77777777" w:rsidR="00E67E9D" w:rsidRPr="00E67E9D" w:rsidRDefault="00E67E9D" w:rsidP="00E67E9D">
      <w:pPr>
        <w:rPr>
          <w:b/>
          <w:bCs/>
        </w:rPr>
      </w:pPr>
      <w:r w:rsidRPr="00E67E9D">
        <w:rPr>
          <w:b/>
          <w:bCs/>
        </w:rPr>
        <w:t>Replication and baseline variability</w:t>
      </w:r>
    </w:p>
    <w:p w14:paraId="6B0DACA2" w14:textId="77777777" w:rsidR="00E67E9D" w:rsidRPr="00E67E9D" w:rsidRDefault="00E67E9D" w:rsidP="00E67E9D">
      <w:r w:rsidRPr="00E67E9D">
        <w:t>Replication and statistical significance serve different purposes in this thesis.</w:t>
      </w:r>
    </w:p>
    <w:p w14:paraId="06A4AE74" w14:textId="77777777" w:rsidR="00E67E9D" w:rsidRPr="00E67E9D" w:rsidRDefault="00E67E9D" w:rsidP="00E67E9D">
      <w:r w:rsidRPr="00E67E9D">
        <w:t>For CLaSP, the diagnostic analyses are repeated across the three independently trained checkpoints with seeds 42, 43, and 44. TRACE uses three seeded draws, 13, 14, and 15, of the evaluation-time protocol mask. The negative-control retrieval arm has no trained-model replicates; its arms labelled 42, 43, and 44 vary only the seeded perturbation draws. ChatTS likewise has no stochastic model-replication axis: it uses a single pinned checkpoint with a deterministic logit readout, so its sampling uncertainty is represented by the bootstrap.</w:t>
      </w:r>
    </w:p>
    <w:p w14:paraId="76C54552" w14:textId="77777777" w:rsidR="00E67E9D" w:rsidRPr="00E67E9D" w:rsidRDefault="00E67E9D" w:rsidP="00E67E9D">
      <w:r w:rsidRPr="00E67E9D">
        <w:t>Statistical evidence comes from the paired observations within an individual replicate. Agreement across replicates is then used to assess whether the direction and approximate size of an effect are stable under the available repetition axis. Three replicate values are not themselves treated as the sample for a significance test.</w:t>
      </w:r>
    </w:p>
    <w:p w14:paraId="090148F0" w14:textId="77777777" w:rsidR="00E67E9D" w:rsidRPr="00E67E9D" w:rsidRDefault="00E67E9D" w:rsidP="00E67E9D">
      <w:r w:rsidRPr="00E67E9D">
        <w:t xml:space="preserve">The unperturbed CLaSP runs also provide an empirical reference for ordinary between-seed variability. For each metric, this reference is calculated as the </w:t>
      </w:r>
      <w:r w:rsidRPr="00E67E9D">
        <w:rPr>
          <w:b/>
          <w:bCs/>
        </w:rPr>
        <w:t>sample standard deviation across the three seeds, using n</w:t>
      </w:r>
      <w:r w:rsidRPr="00E67E9D">
        <w:rPr>
          <w:rFonts w:ascii="Cambria Math" w:hAnsi="Cambria Math" w:cs="Cambria Math"/>
          <w:b/>
          <w:bCs/>
        </w:rPr>
        <w:t>−</w:t>
      </w:r>
      <w:r w:rsidRPr="00E67E9D">
        <w:rPr>
          <w:b/>
          <w:bCs/>
        </w:rPr>
        <w:t>1n-1 in the denominator, divided by their mean</w:t>
      </w:r>
      <w:r w:rsidRPr="00E67E9D">
        <w:t>. As reported in Section 3.2, this quantity is approximately 5.6% for MRR and 3.5% for Recall@10. These values are used as an effect-size reference and contributed to the choice of the equivalence margin below. They are not the test statistic for the diagnostic comparisons.</w:t>
      </w:r>
    </w:p>
    <w:p w14:paraId="1157D344" w14:textId="77777777" w:rsidR="00E67E9D" w:rsidRPr="00E67E9D" w:rsidRDefault="00E67E9D" w:rsidP="00E67E9D">
      <w:pPr>
        <w:rPr>
          <w:b/>
          <w:bCs/>
        </w:rPr>
      </w:pPr>
      <w:r w:rsidRPr="00E67E9D">
        <w:rPr>
          <w:b/>
          <w:bCs/>
        </w:rPr>
        <w:lastRenderedPageBreak/>
        <w:t>Testing whether a change is practically negligible</w:t>
      </w:r>
    </w:p>
    <w:p w14:paraId="71509464" w14:textId="77777777" w:rsidR="00E67E9D" w:rsidRPr="00E67E9D" w:rsidRDefault="00E67E9D" w:rsidP="00E67E9D">
      <w:r w:rsidRPr="00E67E9D">
        <w:t xml:space="preserve">Failure to reject a difference is not evidence that the difference is small. Whenever an interpretation requires performance to remain approximately unchanged, this thesis therefore uses an </w:t>
      </w:r>
      <w:r w:rsidRPr="00E67E9D">
        <w:rPr>
          <w:b/>
          <w:bCs/>
        </w:rPr>
        <w:t>equivalence test</w:t>
      </w:r>
      <w:r w:rsidRPr="00E67E9D">
        <w:t>.</w:t>
      </w:r>
    </w:p>
    <w:p w14:paraId="3B59C57A" w14:textId="77777777" w:rsidR="00E67E9D" w:rsidRPr="00E67E9D" w:rsidRDefault="00E67E9D" w:rsidP="00E67E9D">
      <w:r w:rsidRPr="00E67E9D">
        <w:t>Equivalence is tested with two one-sided tests using a pre-specified margin of</w:t>
      </w:r>
    </w:p>
    <w:p w14:paraId="7DF9AA9D" w14:textId="77777777" w:rsidR="00E67E9D" w:rsidRPr="00E67E9D" w:rsidRDefault="00E67E9D" w:rsidP="00E67E9D">
      <w:r w:rsidRPr="00E67E9D">
        <w:t>[</w:t>
      </w:r>
      <w:r w:rsidRPr="00E67E9D">
        <w:rPr>
          <w:rFonts w:ascii="Cambria Math" w:hAnsi="Cambria Math" w:cs="Cambria Math"/>
        </w:rPr>
        <w:t>−</w:t>
      </w:r>
      <w:r w:rsidRPr="00E67E9D">
        <w:t>0.05,</w:t>
      </w:r>
      <w:r w:rsidRPr="00E67E9D">
        <w:rPr>
          <w:rFonts w:ascii="Times New Roman" w:hAnsi="Times New Roman" w:cs="Times New Roman"/>
        </w:rPr>
        <w:t>  </w:t>
      </w:r>
      <w:r w:rsidRPr="00E67E9D">
        <w:t>0.05].[-0.05,\;0.05].</w:t>
      </w:r>
    </w:p>
    <w:p w14:paraId="6E134C4F" w14:textId="77777777" w:rsidR="00E67E9D" w:rsidRPr="00E67E9D" w:rsidRDefault="00E67E9D" w:rsidP="00E67E9D">
      <w:r w:rsidRPr="00E67E9D">
        <w:t xml:space="preserve">Operationally, the paired difference is considered equivalent to zero when its </w:t>
      </w:r>
      <w:r w:rsidRPr="00E67E9D">
        <w:rPr>
          <w:b/>
          <w:bCs/>
        </w:rPr>
        <w:t>90% bootstrap confidence interval lies entirely inside this interval</w:t>
      </w:r>
      <w:r w:rsidRPr="00E67E9D">
        <w:t>. This produces three possible readings:</w:t>
      </w:r>
    </w:p>
    <w:p w14:paraId="75635587" w14:textId="77777777" w:rsidR="00E67E9D" w:rsidRPr="00E67E9D" w:rsidRDefault="00E67E9D" w:rsidP="00E67E9D">
      <w:pPr>
        <w:numPr>
          <w:ilvl w:val="0"/>
          <w:numId w:val="2"/>
        </w:numPr>
      </w:pPr>
      <w:r w:rsidRPr="00E67E9D">
        <w:rPr>
          <w:b/>
          <w:bCs/>
        </w:rPr>
        <w:t>Equivalent:</w:t>
      </w:r>
      <w:r w:rsidRPr="00E67E9D">
        <w:t xml:space="preserve"> the complete 90% interval lies inside ±0.05\pm0.05.</w:t>
      </w:r>
    </w:p>
    <w:p w14:paraId="7ED50C5B" w14:textId="77777777" w:rsidR="00E67E9D" w:rsidRPr="00E67E9D" w:rsidRDefault="00E67E9D" w:rsidP="00E67E9D">
      <w:pPr>
        <w:numPr>
          <w:ilvl w:val="0"/>
          <w:numId w:val="2"/>
        </w:numPr>
      </w:pPr>
      <w:r w:rsidRPr="00E67E9D">
        <w:rPr>
          <w:b/>
          <w:bCs/>
        </w:rPr>
        <w:t>Shifted:</w:t>
      </w:r>
      <w:r w:rsidRPr="00E67E9D">
        <w:t xml:space="preserve"> the interval excludes zero, providing evidence of a directional change rather than equivalence.</w:t>
      </w:r>
    </w:p>
    <w:p w14:paraId="4E480A0D" w14:textId="77777777" w:rsidR="00E67E9D" w:rsidRPr="00E67E9D" w:rsidRDefault="00E67E9D" w:rsidP="00E67E9D">
      <w:pPr>
        <w:numPr>
          <w:ilvl w:val="0"/>
          <w:numId w:val="2"/>
        </w:numPr>
      </w:pPr>
      <w:r w:rsidRPr="00E67E9D">
        <w:rPr>
          <w:b/>
          <w:bCs/>
        </w:rPr>
        <w:t>Inconclusive by width:</w:t>
      </w:r>
      <w:r w:rsidRPr="00E67E9D">
        <w:t xml:space="preserve"> the interval includes zero but extends beyond at least one equivalence boundary. In this case, the data are not precise enough to establish either a meaningful shift or equivalence.</w:t>
      </w:r>
    </w:p>
    <w:p w14:paraId="3CB66C77" w14:textId="77777777" w:rsidR="00E67E9D" w:rsidRPr="00E67E9D" w:rsidRDefault="00E67E9D" w:rsidP="00E67E9D">
      <w:r w:rsidRPr="00E67E9D">
        <w:t>The third case is important for small control groups. An interval that is wide because nn is small is not treated as evidence that the conditions are equivalent.</w:t>
      </w:r>
    </w:p>
    <w:p w14:paraId="3D6BDF9B" w14:textId="77777777" w:rsidR="00E67E9D" w:rsidRPr="00E67E9D" w:rsidRDefault="00E67E9D" w:rsidP="00E67E9D">
      <w:r w:rsidRPr="00E67E9D">
        <w:t>The numerical margin of ±0.05\pm0.05 was motivated by the baseline variability measured before the diagnostic framework was run, including the approximately 5.6% variability in MRR and 3.5% in Recall@10 described above. This should be understood as an empirical design heuristic rather than a margin formally derived from a sampling distribution.</w:t>
      </w:r>
    </w:p>
    <w:p w14:paraId="6E6E16FF" w14:textId="77777777" w:rsidR="00E67E9D" w:rsidRPr="00E67E9D" w:rsidRDefault="00E67E9D" w:rsidP="00E67E9D">
      <w:r w:rsidRPr="00E67E9D">
        <w:t xml:space="preserve">The timing of this choice also requires disclosure. The margin was fixed </w:t>
      </w:r>
      <w:r w:rsidRPr="00E67E9D">
        <w:rPr>
          <w:b/>
          <w:bCs/>
        </w:rPr>
        <w:t>after the initial Diagnostic-1 gap estimates had already been observed</w:t>
      </w:r>
      <w:r w:rsidRPr="00E67E9D">
        <w:t>. It did not convert an otherwise unsupported Diagnostic-1 component into an equivalence finding, but it was nevertheless not preregistered before the first diagnostic analysis. Registering the equivalence margin before observing any diagnostic effect estimates would have been preferable. Confidence intervals are therefore reported alongside the equivalence labels so that readers can assess the conclusions under a different practical margin.</w:t>
      </w:r>
    </w:p>
    <w:p w14:paraId="10751EBD" w14:textId="77777777" w:rsidR="00E67E9D" w:rsidRPr="00E67E9D" w:rsidRDefault="00E67E9D" w:rsidP="00E67E9D">
      <w:r w:rsidRPr="00E67E9D">
        <w:t xml:space="preserve">The same numerical value is subsequently reused on more than one measurement scale. Its first use is as a margin for absolute MRR change. It is also applied to relative degradation in specified TRACE and Diagnostic-3 contrasts and to accuracy-point differences for ChatTS. These are explicit extensions of the same numerical convention; they are </w:t>
      </w:r>
      <w:r w:rsidRPr="00E67E9D">
        <w:rPr>
          <w:b/>
          <w:bCs/>
        </w:rPr>
        <w:t>not</w:t>
      </w:r>
      <w:r w:rsidRPr="00E67E9D">
        <w:t xml:space="preserve"> independently calibrated margins derived from noise estimates on those scales.</w:t>
      </w:r>
    </w:p>
    <w:p w14:paraId="7828F3ED" w14:textId="77777777" w:rsidR="00E67E9D" w:rsidRPr="00E67E9D" w:rsidRDefault="00E67E9D" w:rsidP="00E67E9D">
      <w:pPr>
        <w:rPr>
          <w:b/>
          <w:bCs/>
        </w:rPr>
      </w:pPr>
      <w:r w:rsidRPr="00E67E9D">
        <w:rPr>
          <w:b/>
          <w:bCs/>
        </w:rPr>
        <w:t>Thin cells</w:t>
      </w:r>
    </w:p>
    <w:p w14:paraId="5622BEF0" w14:textId="77777777" w:rsidR="00E67E9D" w:rsidRPr="00E67E9D" w:rsidRDefault="00E67E9D" w:rsidP="00E67E9D">
      <w:r w:rsidRPr="00E67E9D">
        <w:lastRenderedPageBreak/>
        <w:t>Some groups contain few observations because of the structure of the datasets rather than because of missing data. Section 3.5, for example, showed that order-invariant descriptions are rare.</w:t>
      </w:r>
    </w:p>
    <w:p w14:paraId="0E03D023" w14:textId="77777777" w:rsidR="00E67E9D" w:rsidRPr="00E67E9D" w:rsidRDefault="00E67E9D" w:rsidP="00E67E9D">
      <w:r w:rsidRPr="00E67E9D">
        <w:t xml:space="preserve">No fixed sample-size threshold is used to define a cell as </w:t>
      </w:r>
      <w:r w:rsidRPr="00E67E9D">
        <w:rPr>
          <w:i/>
          <w:iCs/>
        </w:rPr>
        <w:t>thin</w:t>
      </w:r>
      <w:r w:rsidRPr="00E67E9D">
        <w:t>. Instead, every such result is reported with the number of contributing units and signals. A thin cell is not allowed to carry a diagnostic conclusion by itself.</w:t>
      </w:r>
    </w:p>
    <w:p w14:paraId="4354851D" w14:textId="77777777" w:rsidR="00E67E9D" w:rsidRPr="00E67E9D" w:rsidRDefault="00E67E9D" w:rsidP="00E67E9D">
      <w:r w:rsidRPr="00E67E9D">
        <w:t>This rule is especially important for a difference-in-differences. The aggregate differential is always shown together with the two group-specific changes from which it is constructed. A differential of the expected sign can otherwise be produced by unexpected movement in a small control group rather than by degradation in the group the diagnostic is intended to test.</w:t>
      </w:r>
    </w:p>
    <w:p w14:paraId="1C837E6E" w14:textId="77777777" w:rsidR="00E67E9D" w:rsidRPr="00E67E9D" w:rsidRDefault="00E67E9D" w:rsidP="00E67E9D">
      <w:r w:rsidRPr="00E67E9D">
        <w:t>Ambiguous descriptions and degenerate identity-control cases are excluded from confirmatory inference and reported descriptively.</w:t>
      </w:r>
    </w:p>
    <w:p w14:paraId="7B961414" w14:textId="77777777" w:rsidR="00E67E9D" w:rsidRPr="00E67E9D" w:rsidRDefault="00E67E9D" w:rsidP="00E67E9D">
      <w:pPr>
        <w:rPr>
          <w:b/>
          <w:bCs/>
        </w:rPr>
      </w:pPr>
      <w:r w:rsidRPr="00E67E9D">
        <w:rPr>
          <w:b/>
          <w:bCs/>
        </w:rPr>
        <w:t>Capability before interpretation</w:t>
      </w:r>
    </w:p>
    <w:p w14:paraId="478D4677" w14:textId="77777777" w:rsidR="00E67E9D" w:rsidRPr="00E67E9D" w:rsidRDefault="00E67E9D" w:rsidP="00E67E9D">
      <w:r w:rsidRPr="00E67E9D">
        <w:t>A degradation diagnostic requires performance that can meaningfully degrade. If a model is already operating near chance in the reference condition, little can be inferred from what happens after information is removed. A numerical change in such a cell may reflect ordinary fluctuation around chance rather than loss of an established capability.</w:t>
      </w:r>
    </w:p>
    <w:p w14:paraId="11D51F2C" w14:textId="77777777" w:rsidR="00E67E9D" w:rsidRPr="00E67E9D" w:rsidRDefault="00E67E9D" w:rsidP="00E67E9D">
      <w:r w:rsidRPr="00E67E9D">
        <w:t xml:space="preserve">Capability is therefore assessed </w:t>
      </w:r>
      <w:r w:rsidRPr="00E67E9D">
        <w:rPr>
          <w:b/>
          <w:bCs/>
        </w:rPr>
        <w:t>before</w:t>
      </w:r>
      <w:r w:rsidRPr="00E67E9D">
        <w:t xml:space="preserve"> the perturbation is interpreted. On the accuracy scale, the working convention uses the lower bound of the 95% confidence interval for the appropriate reference condition—such as the random-distractor or unperturbed control—and compares it with 0.60. Retrieval cells are assessed analogously relative to the chance level implied by their candidate pool. Exact implementation details for the individual model interfaces are documented in Appendix A.</w:t>
      </w:r>
    </w:p>
    <w:p w14:paraId="38198997" w14:textId="77777777" w:rsidR="00E67E9D" w:rsidRPr="00E67E9D" w:rsidRDefault="00E67E9D" w:rsidP="00E67E9D">
      <w:r w:rsidRPr="00E67E9D">
        <w:t>This produces three capability labels:</w:t>
      </w:r>
    </w:p>
    <w:p w14:paraId="46C03EF2" w14:textId="77777777" w:rsidR="00E67E9D" w:rsidRPr="00E67E9D" w:rsidRDefault="00E67E9D" w:rsidP="00E67E9D">
      <w:pPr>
        <w:numPr>
          <w:ilvl w:val="0"/>
          <w:numId w:val="3"/>
        </w:numPr>
      </w:pPr>
      <w:r w:rsidRPr="00E67E9D">
        <w:rPr>
          <w:b/>
          <w:bCs/>
        </w:rPr>
        <w:t>Viable:</w:t>
      </w:r>
      <w:r w:rsidRPr="00E67E9D">
        <w:t xml:space="preserve"> the reference condition establishes enough capability and headroom for a degradation analysis.</w:t>
      </w:r>
    </w:p>
    <w:p w14:paraId="583BA2A1" w14:textId="77777777" w:rsidR="00E67E9D" w:rsidRPr="00E67E9D" w:rsidRDefault="00E67E9D" w:rsidP="00E67E9D">
      <w:pPr>
        <w:numPr>
          <w:ilvl w:val="0"/>
          <w:numId w:val="3"/>
        </w:numPr>
      </w:pPr>
      <w:r w:rsidRPr="00E67E9D">
        <w:rPr>
          <w:b/>
          <w:bCs/>
        </w:rPr>
        <w:t>Weakly viable:</w:t>
      </w:r>
      <w:r w:rsidRPr="00E67E9D">
        <w:t xml:space="preserve"> performance is above chance and still permits a qualified diagnostic reading, but capability or available degradation headroom is close enough to the convention boundary that the limitation must be stated explicitly.</w:t>
      </w:r>
    </w:p>
    <w:p w14:paraId="02DAD6BB" w14:textId="77777777" w:rsidR="00E67E9D" w:rsidRPr="00E67E9D" w:rsidRDefault="00E67E9D" w:rsidP="00E67E9D">
      <w:pPr>
        <w:numPr>
          <w:ilvl w:val="0"/>
          <w:numId w:val="3"/>
        </w:numPr>
      </w:pPr>
      <w:r w:rsidRPr="00E67E9D">
        <w:rPr>
          <w:b/>
          <w:bCs/>
        </w:rPr>
        <w:t>VOID:</w:t>
      </w:r>
      <w:r w:rsidRPr="00E67E9D">
        <w:t xml:space="preserve"> the reference capability is too close to chance for a degradation-based shortcut interpretation. No substantive diagnostic verdict is assigned.</w:t>
      </w:r>
    </w:p>
    <w:p w14:paraId="206C680D" w14:textId="77777777" w:rsidR="00E67E9D" w:rsidRPr="00E67E9D" w:rsidRDefault="00E67E9D" w:rsidP="00E67E9D">
      <w:r w:rsidRPr="00E67E9D">
        <w:t xml:space="preserve">The 0.60 value is a reporting convention rather than a natural boundary between capability and no capability. Borderline cases are therefore not settled by the threshold alone. Where the </w:t>
      </w:r>
      <w:r w:rsidRPr="00E67E9D">
        <w:lastRenderedPageBreak/>
        <w:t>mechanical rule and the substantive evidence do not give the same clear answer, the observed interval, available headroom, and reasoning are reported explicitly.</w:t>
      </w:r>
    </w:p>
    <w:p w14:paraId="79E08354" w14:textId="77777777" w:rsidR="00E67E9D" w:rsidRPr="00E67E9D" w:rsidRDefault="00E67E9D" w:rsidP="00E67E9D">
      <w:pPr>
        <w:rPr>
          <w:b/>
          <w:bCs/>
        </w:rPr>
      </w:pPr>
      <w:r w:rsidRPr="00E67E9D">
        <w:rPr>
          <w:b/>
          <w:bCs/>
        </w:rPr>
        <w:t>Three vocabularies</w:t>
      </w:r>
    </w:p>
    <w:p w14:paraId="351B1EBC" w14:textId="77777777" w:rsidR="00E67E9D" w:rsidRPr="00E67E9D" w:rsidRDefault="00E67E9D" w:rsidP="00E67E9D">
      <w:r w:rsidRPr="00E67E9D">
        <w:t>Three types of labels appear in the results chapters. They answer different questions and are kept separate.</w:t>
      </w:r>
    </w:p>
    <w:p w14:paraId="6C76D774" w14:textId="77777777" w:rsidR="00E67E9D" w:rsidRPr="00E67E9D" w:rsidRDefault="00E67E9D" w:rsidP="00E67E9D">
      <w:r w:rsidRPr="00E67E9D">
        <w:rPr>
          <w:b/>
          <w:bCs/>
        </w:rPr>
        <w:t>1. Prediction outcomes: confirmed or missed.</w:t>
      </w:r>
      <w:r w:rsidRPr="00E67E9D">
        <w:br/>
        <w:t xml:space="preserve">These labels refer only to registered expectations. A prediction is </w:t>
      </w:r>
      <w:r w:rsidRPr="00E67E9D">
        <w:rPr>
          <w:b/>
          <w:bCs/>
        </w:rPr>
        <w:t>confirmed</w:t>
      </w:r>
      <w:r w:rsidRPr="00E67E9D">
        <w:t xml:space="preserve"> when its pre-specified criterion is met and </w:t>
      </w:r>
      <w:r w:rsidRPr="00E67E9D">
        <w:rPr>
          <w:b/>
          <w:bCs/>
        </w:rPr>
        <w:t>missed</w:t>
      </w:r>
      <w:r w:rsidRPr="00E67E9D">
        <w:t xml:space="preserve"> when it is not. A missed prediction remains recorded as a miss even when the unexpected outcome motivates a useful follow-up analysis or later protocol amendment. Appendix B provides the full prediction ledger and maps the main-text terminology to the repository records.</w:t>
      </w:r>
    </w:p>
    <w:p w14:paraId="26347015" w14:textId="77777777" w:rsidR="00E67E9D" w:rsidRPr="00E67E9D" w:rsidRDefault="00E67E9D" w:rsidP="00E67E9D">
      <w:r w:rsidRPr="00E67E9D">
        <w:rPr>
          <w:b/>
          <w:bCs/>
        </w:rPr>
        <w:t>2. Capability status: viable, weakly viable, or VOID.</w:t>
      </w:r>
      <w:r w:rsidRPr="00E67E9D">
        <w:br/>
        <w:t>These labels answer whether a particular model–substrate cell has enough reference performance for a diagnostic interpretation. Capability is established before the perturbation result is used.</w:t>
      </w:r>
    </w:p>
    <w:p w14:paraId="44BCA1AE" w14:textId="77777777" w:rsidR="00E67E9D" w:rsidRPr="00E67E9D" w:rsidRDefault="00E67E9D" w:rsidP="00E67E9D">
      <w:r w:rsidRPr="00E67E9D">
        <w:rPr>
          <w:b/>
          <w:bCs/>
        </w:rPr>
        <w:t>3. Diagnostic verdicts.</w:t>
      </w:r>
      <w:r w:rsidRPr="00E67E9D">
        <w:br/>
        <w:t>The verdict vocabulary depends on the diagnostic because the three diagnostics ask different questions.</w:t>
      </w:r>
    </w:p>
    <w:p w14:paraId="13937811" w14:textId="77777777" w:rsidR="00E67E9D" w:rsidRPr="00E67E9D" w:rsidRDefault="00E67E9D" w:rsidP="00E67E9D">
      <w:r w:rsidRPr="00E67E9D">
        <w:t xml:space="preserve">For </w:t>
      </w:r>
      <w:r w:rsidRPr="00E67E9D">
        <w:rPr>
          <w:b/>
          <w:bCs/>
        </w:rPr>
        <w:t>Diagnostic 1</w:t>
      </w:r>
      <w:r w:rsidRPr="00E67E9D">
        <w:t xml:space="preserve">, the main degradation verdicts share the same first requirement: the component-swap condition must show </w:t>
      </w:r>
      <w:r w:rsidRPr="00E67E9D">
        <w:rPr>
          <w:b/>
          <w:bCs/>
        </w:rPr>
        <w:t>statistically supported and replicated degradation relative to its matched random-distractor control</w:t>
      </w:r>
      <w:r w:rsidRPr="00E67E9D">
        <w:t>. The 0.60 capability convention is then used to distinguish the severity of that degradation:</w:t>
      </w:r>
    </w:p>
    <w:p w14:paraId="1B71CE37" w14:textId="77777777" w:rsidR="00E67E9D" w:rsidRPr="00E67E9D" w:rsidRDefault="00E67E9D" w:rsidP="00E67E9D">
      <w:pPr>
        <w:numPr>
          <w:ilvl w:val="0"/>
          <w:numId w:val="4"/>
        </w:numPr>
      </w:pPr>
      <w:r w:rsidRPr="00E67E9D">
        <w:rPr>
          <w:b/>
          <w:bCs/>
        </w:rPr>
        <w:t>Collapse:</w:t>
      </w:r>
      <w:r w:rsidRPr="00E67E9D">
        <w:t xml:space="preserve"> degradation relative to the matched random control is statistically supported and replicated, </w:t>
      </w:r>
      <w:r w:rsidRPr="00E67E9D">
        <w:rPr>
          <w:b/>
          <w:bCs/>
        </w:rPr>
        <w:t>and</w:t>
      </w:r>
      <w:r w:rsidRPr="00E67E9D">
        <w:t xml:space="preserve"> the lower bound of the swap condition's 95% confidence interval falls below the 0.60 capability convention. The model therefore no longer meets the thesis's operational capability criterion for reliably distinguishing that component under the tested condition.</w:t>
      </w:r>
    </w:p>
    <w:p w14:paraId="7800C3A2" w14:textId="77777777" w:rsidR="00E67E9D" w:rsidRPr="00E67E9D" w:rsidRDefault="00E67E9D" w:rsidP="00E67E9D">
      <w:pPr>
        <w:numPr>
          <w:ilvl w:val="0"/>
          <w:numId w:val="4"/>
        </w:numPr>
      </w:pPr>
      <w:r w:rsidRPr="00E67E9D">
        <w:rPr>
          <w:b/>
          <w:bCs/>
        </w:rPr>
        <w:t>Partial:</w:t>
      </w:r>
      <w:r w:rsidRPr="00E67E9D">
        <w:t xml:space="preserve"> degradation relative to the matched random control is statistically supported and replicated, but the lower bound of the swap condition's 95% confidence interval remains at or above the 0.60 capability convention. The distinction is affected, but the model retains operationally viable performance on it.</w:t>
      </w:r>
    </w:p>
    <w:p w14:paraId="505E0BC5" w14:textId="77777777" w:rsidR="00E67E9D" w:rsidRPr="00E67E9D" w:rsidRDefault="00E67E9D" w:rsidP="00E67E9D">
      <w:r w:rsidRPr="00E67E9D">
        <w:t>If the swap-versus-random difference is not statistically supported and replicated, the 0.60 boundary alone does not produce either a collapse or partial verdict.</w:t>
      </w:r>
    </w:p>
    <w:p w14:paraId="42F67063" w14:textId="77777777" w:rsidR="00E67E9D" w:rsidRPr="00E67E9D" w:rsidRDefault="00E67E9D" w:rsidP="00E67E9D">
      <w:r w:rsidRPr="00E67E9D">
        <w:t xml:space="preserve">The same caution applies here as when the 0.60 convention is used for baseline capability: it is </w:t>
      </w:r>
      <w:r w:rsidRPr="00E67E9D">
        <w:lastRenderedPageBreak/>
        <w:t>an operational reporting rule, not a natural boundary. A Diagnostic-1 result close to the boundary is therefore reported with its interval and substantive context rather than classified from the threshold alone.</w:t>
      </w:r>
    </w:p>
    <w:p w14:paraId="03426E6B" w14:textId="77777777" w:rsidR="00E67E9D" w:rsidRPr="00E67E9D" w:rsidRDefault="00E67E9D" w:rsidP="00E67E9D">
      <w:r w:rsidRPr="00E67E9D">
        <w:t xml:space="preserve">For </w:t>
      </w:r>
      <w:r w:rsidRPr="00E67E9D">
        <w:rPr>
          <w:b/>
          <w:bCs/>
        </w:rPr>
        <w:t>Diagnostic 3</w:t>
      </w:r>
      <w:r w:rsidRPr="00E67E9D">
        <w:t>, the main reduction verdicts are:</w:t>
      </w:r>
    </w:p>
    <w:p w14:paraId="2692BA4B" w14:textId="77777777" w:rsidR="00E67E9D" w:rsidRPr="00E67E9D" w:rsidRDefault="00E67E9D" w:rsidP="00E67E9D">
      <w:pPr>
        <w:numPr>
          <w:ilvl w:val="0"/>
          <w:numId w:val="5"/>
        </w:numPr>
      </w:pPr>
      <w:r w:rsidRPr="00E67E9D">
        <w:rPr>
          <w:b/>
          <w:bCs/>
        </w:rPr>
        <w:t>Shortcut present:</w:t>
      </w:r>
      <w:r w:rsidRPr="00E67E9D">
        <w:t xml:space="preserve"> a controlled reduced-information condition retains interpretable performance under the diagnostic's statistical and capability criteria. In the operational terminology defined in Section 3.1, this supports a shortcut interpretation for the </w:t>
      </w:r>
      <w:r w:rsidRPr="00E67E9D">
        <w:rPr>
          <w:b/>
          <w:bCs/>
        </w:rPr>
        <w:t>specific information source retained by that condition</w:t>
      </w:r>
      <w:r w:rsidRPr="00E67E9D">
        <w:t>. It does not identify the model's complete internal mechanism.</w:t>
      </w:r>
    </w:p>
    <w:p w14:paraId="6601844C" w14:textId="77777777" w:rsidR="00E67E9D" w:rsidRPr="00E67E9D" w:rsidRDefault="00E67E9D" w:rsidP="00E67E9D">
      <w:pPr>
        <w:numPr>
          <w:ilvl w:val="0"/>
          <w:numId w:val="5"/>
        </w:numPr>
      </w:pPr>
      <w:r w:rsidRPr="00E67E9D">
        <w:rPr>
          <w:b/>
          <w:bCs/>
        </w:rPr>
        <w:t>No shortcut detected:</w:t>
      </w:r>
      <w:r w:rsidRPr="00E67E9D">
        <w:t xml:space="preserve"> none of the tested reduced-information conditions provides evidence for the specified shortcut under the diagnostic criteria. This statement is limited to the reductions that were actually tested. It does not establish that no other shortcut exists, nor does it prove that the model requires every aspect of the original input.</w:t>
      </w:r>
    </w:p>
    <w:p w14:paraId="633D392A" w14:textId="77777777" w:rsidR="00E67E9D" w:rsidRPr="00E67E9D" w:rsidRDefault="00E67E9D" w:rsidP="00E67E9D">
      <w:r w:rsidRPr="00E67E9D">
        <w:t xml:space="preserve">Diagnostic 2 is interpreted through its </w:t>
      </w:r>
      <w:r w:rsidRPr="00E67E9D">
        <w:rPr>
          <w:b/>
          <w:bCs/>
        </w:rPr>
        <w:t>perturbation profile</w:t>
      </w:r>
      <w:r w:rsidRPr="00E67E9D">
        <w:t>, its difference-in-differences where available, and the associated equivalence outcomes rather than by forcing one of the Diagnostic-1 or Diagnostic-3 verdict labels onto it.</w:t>
      </w:r>
    </w:p>
    <w:p w14:paraId="3EC6ED21" w14:textId="77777777" w:rsidR="00E67E9D" w:rsidRPr="00E67E9D" w:rsidRDefault="00E67E9D" w:rsidP="00E67E9D">
      <w:r w:rsidRPr="00E67E9D">
        <w:t xml:space="preserve">When capability status is </w:t>
      </w:r>
      <w:r w:rsidRPr="00E67E9D">
        <w:rPr>
          <w:b/>
          <w:bCs/>
        </w:rPr>
        <w:t>VOID</w:t>
      </w:r>
      <w:r w:rsidRPr="00E67E9D">
        <w:t xml:space="preserve">, the reported diagnostic outcome is also written as VOID rather than forcing a substantive interpretation. VOID therefore means </w:t>
      </w:r>
      <w:r w:rsidRPr="00E67E9D">
        <w:rPr>
          <w:i/>
          <w:iCs/>
        </w:rPr>
        <w:t>no diagnostic reading</w:t>
      </w:r>
      <w:r w:rsidRPr="00E67E9D">
        <w:t>, not evidence for or against a shortcut.</w:t>
      </w:r>
    </w:p>
    <w:p w14:paraId="7083E1E7" w14:textId="77777777" w:rsidR="00E67E9D" w:rsidRPr="00E67E9D" w:rsidRDefault="00E67E9D" w:rsidP="00E67E9D">
      <w:r w:rsidRPr="00E67E9D">
        <w:t xml:space="preserve">An equivalence outcome such as </w:t>
      </w:r>
      <w:r w:rsidRPr="00E67E9D">
        <w:rPr>
          <w:b/>
          <w:bCs/>
        </w:rPr>
        <w:t>inconclusive by width</w:t>
      </w:r>
      <w:r w:rsidRPr="00E67E9D">
        <w:t xml:space="preserve"> belongs to the statistical evidence supporting these interpretations; it is not a separate capability label or a registered-prediction outcome.</w:t>
      </w:r>
    </w:p>
    <w:p w14:paraId="0E7E4FBC" w14:textId="77777777" w:rsidR="00E67E9D" w:rsidRPr="00E67E9D" w:rsidRDefault="00E67E9D" w:rsidP="00E67E9D">
      <w:pPr>
        <w:rPr>
          <w:b/>
          <w:bCs/>
        </w:rPr>
      </w:pPr>
      <w:r w:rsidRPr="00E67E9D">
        <w:rPr>
          <w:b/>
          <w:bCs/>
        </w:rPr>
        <w:t>Thresholds do not replace interpretation</w:t>
      </w:r>
    </w:p>
    <w:p w14:paraId="1EC599AB" w14:textId="77777777" w:rsidR="00E67E9D" w:rsidRPr="00E67E9D" w:rsidRDefault="00E67E9D" w:rsidP="00E67E9D">
      <w:r w:rsidRPr="00E67E9D">
        <w:t>Numerical rules are necessary for consistent reporting, but several of them have boundaries that are partly conventional. An interval can lie only slightly outside an equivalence margin, or a capability bound can lie only slightly below the 0.60 convention. Such cases are not resolved by rounding or by applying the label mechanically.</w:t>
      </w:r>
    </w:p>
    <w:p w14:paraId="1CCCB927" w14:textId="3D42E728" w:rsidR="00841729" w:rsidRPr="00E67E9D" w:rsidRDefault="00E67E9D">
      <w:pPr>
        <w:rPr>
          <w:rFonts w:hint="eastAsia"/>
        </w:rPr>
      </w:pPr>
      <w:r w:rsidRPr="00E67E9D">
        <w:t>Whenever a conclusion lies close to one of these boundaries, the numerical evidence and the substantive interpretation are reported separately in Chapter 4. The threshold provides a common decision rule; it does not replace the argument supporting the final label.</w:t>
      </w:r>
    </w:p>
    <w:sectPr w:rsidR="00841729" w:rsidRPr="00E67E9D">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DC9"/>
    <w:multiLevelType w:val="multilevel"/>
    <w:tmpl w:val="AF28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7C373A"/>
    <w:multiLevelType w:val="multilevel"/>
    <w:tmpl w:val="CFF2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DE66A3"/>
    <w:multiLevelType w:val="multilevel"/>
    <w:tmpl w:val="7B26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9A3DEF"/>
    <w:multiLevelType w:val="multilevel"/>
    <w:tmpl w:val="83B4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35B5F"/>
    <w:multiLevelType w:val="multilevel"/>
    <w:tmpl w:val="4890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414732">
    <w:abstractNumId w:val="3"/>
  </w:num>
  <w:num w:numId="2" w16cid:durableId="1277175326">
    <w:abstractNumId w:val="1"/>
  </w:num>
  <w:num w:numId="3" w16cid:durableId="2106805759">
    <w:abstractNumId w:val="4"/>
  </w:num>
  <w:num w:numId="4" w16cid:durableId="567108693">
    <w:abstractNumId w:val="0"/>
  </w:num>
  <w:num w:numId="5" w16cid:durableId="1377199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729"/>
    <w:rsid w:val="00841729"/>
    <w:rsid w:val="00C01F6A"/>
    <w:rsid w:val="00E67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BD4D9"/>
  <w15:chartTrackingRefBased/>
  <w15:docId w15:val="{99A8837C-F3FE-4ECD-BA95-50D6E975F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4172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4172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4172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4172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4172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4172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417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417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417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172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4172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4172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41729"/>
    <w:rPr>
      <w:rFonts w:cstheme="majorBidi"/>
      <w:color w:val="2F5496" w:themeColor="accent1" w:themeShade="BF"/>
      <w:sz w:val="28"/>
      <w:szCs w:val="28"/>
    </w:rPr>
  </w:style>
  <w:style w:type="character" w:customStyle="1" w:styleId="50">
    <w:name w:val="标题 5 字符"/>
    <w:basedOn w:val="a0"/>
    <w:link w:val="5"/>
    <w:uiPriority w:val="9"/>
    <w:semiHidden/>
    <w:rsid w:val="00841729"/>
    <w:rPr>
      <w:rFonts w:cstheme="majorBidi"/>
      <w:color w:val="2F5496" w:themeColor="accent1" w:themeShade="BF"/>
      <w:sz w:val="24"/>
    </w:rPr>
  </w:style>
  <w:style w:type="character" w:customStyle="1" w:styleId="60">
    <w:name w:val="标题 6 字符"/>
    <w:basedOn w:val="a0"/>
    <w:link w:val="6"/>
    <w:uiPriority w:val="9"/>
    <w:semiHidden/>
    <w:rsid w:val="00841729"/>
    <w:rPr>
      <w:rFonts w:cstheme="majorBidi"/>
      <w:b/>
      <w:bCs/>
      <w:color w:val="2F5496" w:themeColor="accent1" w:themeShade="BF"/>
    </w:rPr>
  </w:style>
  <w:style w:type="character" w:customStyle="1" w:styleId="70">
    <w:name w:val="标题 7 字符"/>
    <w:basedOn w:val="a0"/>
    <w:link w:val="7"/>
    <w:uiPriority w:val="9"/>
    <w:semiHidden/>
    <w:rsid w:val="00841729"/>
    <w:rPr>
      <w:rFonts w:cstheme="majorBidi"/>
      <w:b/>
      <w:bCs/>
      <w:color w:val="595959" w:themeColor="text1" w:themeTint="A6"/>
    </w:rPr>
  </w:style>
  <w:style w:type="character" w:customStyle="1" w:styleId="80">
    <w:name w:val="标题 8 字符"/>
    <w:basedOn w:val="a0"/>
    <w:link w:val="8"/>
    <w:uiPriority w:val="9"/>
    <w:semiHidden/>
    <w:rsid w:val="00841729"/>
    <w:rPr>
      <w:rFonts w:cstheme="majorBidi"/>
      <w:color w:val="595959" w:themeColor="text1" w:themeTint="A6"/>
    </w:rPr>
  </w:style>
  <w:style w:type="character" w:customStyle="1" w:styleId="90">
    <w:name w:val="标题 9 字符"/>
    <w:basedOn w:val="a0"/>
    <w:link w:val="9"/>
    <w:uiPriority w:val="9"/>
    <w:semiHidden/>
    <w:rsid w:val="00841729"/>
    <w:rPr>
      <w:rFonts w:eastAsiaTheme="majorEastAsia" w:cstheme="majorBidi"/>
      <w:color w:val="595959" w:themeColor="text1" w:themeTint="A6"/>
    </w:rPr>
  </w:style>
  <w:style w:type="paragraph" w:styleId="a3">
    <w:name w:val="Title"/>
    <w:basedOn w:val="a"/>
    <w:next w:val="a"/>
    <w:link w:val="a4"/>
    <w:uiPriority w:val="10"/>
    <w:qFormat/>
    <w:rsid w:val="008417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417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17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417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41729"/>
    <w:pPr>
      <w:spacing w:before="160"/>
      <w:jc w:val="center"/>
    </w:pPr>
    <w:rPr>
      <w:i/>
      <w:iCs/>
      <w:color w:val="404040" w:themeColor="text1" w:themeTint="BF"/>
    </w:rPr>
  </w:style>
  <w:style w:type="character" w:customStyle="1" w:styleId="a8">
    <w:name w:val="引用 字符"/>
    <w:basedOn w:val="a0"/>
    <w:link w:val="a7"/>
    <w:uiPriority w:val="29"/>
    <w:rsid w:val="00841729"/>
    <w:rPr>
      <w:i/>
      <w:iCs/>
      <w:color w:val="404040" w:themeColor="text1" w:themeTint="BF"/>
    </w:rPr>
  </w:style>
  <w:style w:type="paragraph" w:styleId="a9">
    <w:name w:val="List Paragraph"/>
    <w:basedOn w:val="a"/>
    <w:uiPriority w:val="34"/>
    <w:qFormat/>
    <w:rsid w:val="00841729"/>
    <w:pPr>
      <w:ind w:left="720"/>
      <w:contextualSpacing/>
    </w:pPr>
  </w:style>
  <w:style w:type="character" w:styleId="aa">
    <w:name w:val="Intense Emphasis"/>
    <w:basedOn w:val="a0"/>
    <w:uiPriority w:val="21"/>
    <w:qFormat/>
    <w:rsid w:val="00841729"/>
    <w:rPr>
      <w:i/>
      <w:iCs/>
      <w:color w:val="2F5496" w:themeColor="accent1" w:themeShade="BF"/>
    </w:rPr>
  </w:style>
  <w:style w:type="paragraph" w:styleId="ab">
    <w:name w:val="Intense Quote"/>
    <w:basedOn w:val="a"/>
    <w:next w:val="a"/>
    <w:link w:val="ac"/>
    <w:uiPriority w:val="30"/>
    <w:qFormat/>
    <w:rsid w:val="008417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41729"/>
    <w:rPr>
      <w:i/>
      <w:iCs/>
      <w:color w:val="2F5496" w:themeColor="accent1" w:themeShade="BF"/>
    </w:rPr>
  </w:style>
  <w:style w:type="character" w:styleId="ad">
    <w:name w:val="Intense Reference"/>
    <w:basedOn w:val="a0"/>
    <w:uiPriority w:val="32"/>
    <w:qFormat/>
    <w:rsid w:val="008417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2271</Words>
  <Characters>12947</Characters>
  <Application>Microsoft Office Word</Application>
  <DocSecurity>0</DocSecurity>
  <Lines>107</Lines>
  <Paragraphs>30</Paragraphs>
  <ScaleCrop>false</ScaleCrop>
  <Company/>
  <LinksUpToDate>false</LinksUpToDate>
  <CharactersWithSpaces>15188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2026-09-05T22:40:00Z</dcterms:created>
  <dcterms:modified xsi:type="dcterms:W3CDTF">2026-09-05T22:59:00Z</dcterms:modified>
</cp:coreProperties>
</file>