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CD7A" w14:textId="4461D120" w:rsidR="000F7F36" w:rsidRPr="00D65879" w:rsidRDefault="00A81FC1">
      <w:pPr>
        <w:rPr>
          <w:rFonts w:cs="Calibri"/>
          <w:b/>
          <w:bCs/>
          <w:sz w:val="32"/>
          <w:szCs w:val="32"/>
        </w:rPr>
      </w:pPr>
      <w:r>
        <w:rPr>
          <w:noProof/>
        </w:rPr>
        <w:drawing>
          <wp:inline distT="0" distB="0" distL="0" distR="0" wp14:anchorId="4379A834" wp14:editId="5BC1C6D9">
            <wp:extent cx="2702560" cy="356235"/>
            <wp:effectExtent l="0" t="0" r="0" b="0"/>
            <wp:docPr id="1"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560" cy="356235"/>
                    </a:xfrm>
                    <a:prstGeom prst="rect">
                      <a:avLst/>
                    </a:prstGeom>
                  </pic:spPr>
                </pic:pic>
              </a:graphicData>
            </a:graphic>
          </wp:inline>
        </w:drawing>
      </w:r>
    </w:p>
    <w:p w14:paraId="44AF3DEB" w14:textId="77777777" w:rsidR="004832C2" w:rsidRDefault="004832C2" w:rsidP="000F7F36">
      <w:pPr>
        <w:rPr>
          <w:rFonts w:cs="Calibri"/>
          <w:b/>
          <w:bCs/>
          <w:color w:val="000000"/>
          <w:sz w:val="28"/>
          <w:szCs w:val="28"/>
        </w:rPr>
      </w:pPr>
    </w:p>
    <w:p w14:paraId="28361FC8" w14:textId="1ED0A0A3" w:rsidR="00035492" w:rsidRPr="005D240C" w:rsidRDefault="00035492" w:rsidP="000F7F36">
      <w:pPr>
        <w:rPr>
          <w:rFonts w:cs="Calibri"/>
          <w:b/>
          <w:bCs/>
          <w:sz w:val="24"/>
          <w:szCs w:val="24"/>
        </w:rPr>
      </w:pPr>
      <w:r w:rsidRPr="005D240C">
        <w:rPr>
          <w:rFonts w:cs="Calibri"/>
          <w:b/>
          <w:bCs/>
          <w:color w:val="000000"/>
          <w:sz w:val="24"/>
          <w:szCs w:val="24"/>
        </w:rPr>
        <w:t>Article title</w:t>
      </w:r>
      <w:r w:rsidR="00D33B43" w:rsidRPr="005D240C">
        <w:rPr>
          <w:rFonts w:cs="Calibri"/>
          <w:b/>
          <w:bCs/>
          <w:color w:val="000000"/>
          <w:sz w:val="24"/>
          <w:szCs w:val="24"/>
        </w:rPr>
        <w:t xml:space="preserve"> </w:t>
      </w:r>
    </w:p>
    <w:p w14:paraId="0D13FCED" w14:textId="77777777" w:rsidR="00E300F6" w:rsidRPr="005D240C" w:rsidRDefault="00E300F6" w:rsidP="00035492">
      <w:pPr>
        <w:pStyle w:val="NormalWeb"/>
        <w:spacing w:before="240" w:beforeAutospacing="0" w:after="0" w:afterAutospacing="0"/>
        <w:rPr>
          <w:rFonts w:ascii="Calibri" w:hAnsi="Calibri" w:cs="Calibri"/>
          <w:color w:val="000000"/>
        </w:rPr>
      </w:pPr>
      <w:r w:rsidRPr="005D240C">
        <w:rPr>
          <w:rFonts w:ascii="Calibri" w:hAnsi="Calibri" w:cs="Calibri"/>
          <w:color w:val="000000"/>
        </w:rPr>
        <w:t xml:space="preserve">Draft Genome Sequence of </w:t>
      </w:r>
      <w:proofErr w:type="spellStart"/>
      <w:r w:rsidRPr="005D240C">
        <w:rPr>
          <w:rFonts w:ascii="Calibri" w:hAnsi="Calibri" w:cs="Calibri"/>
          <w:i/>
          <w:iCs/>
          <w:color w:val="000000"/>
        </w:rPr>
        <w:t>Intestinibacter</w:t>
      </w:r>
      <w:proofErr w:type="spellEnd"/>
      <w:r w:rsidRPr="005D240C">
        <w:rPr>
          <w:rFonts w:ascii="Calibri" w:hAnsi="Calibri" w:cs="Calibri"/>
          <w:i/>
          <w:iCs/>
          <w:color w:val="000000"/>
        </w:rPr>
        <w:t xml:space="preserve"> </w:t>
      </w:r>
      <w:proofErr w:type="spellStart"/>
      <w:r w:rsidRPr="005D240C">
        <w:rPr>
          <w:rFonts w:ascii="Calibri" w:hAnsi="Calibri" w:cs="Calibri"/>
          <w:i/>
          <w:iCs/>
          <w:color w:val="000000"/>
        </w:rPr>
        <w:t>bartletti</w:t>
      </w:r>
      <w:proofErr w:type="spellEnd"/>
      <w:r w:rsidRPr="005D240C">
        <w:rPr>
          <w:rFonts w:ascii="Calibri" w:hAnsi="Calibri" w:cs="Calibri"/>
          <w:i/>
          <w:iCs/>
          <w:color w:val="000000"/>
        </w:rPr>
        <w:t xml:space="preserve"> DSM 16795</w:t>
      </w:r>
      <w:r w:rsidRPr="005D240C">
        <w:rPr>
          <w:rFonts w:ascii="Calibri" w:hAnsi="Calibri" w:cs="Calibri"/>
          <w:color w:val="000000"/>
        </w:rPr>
        <w:t xml:space="preserve">, a Human Gut Isolate Associated with Autism Microbiome Studies </w:t>
      </w:r>
    </w:p>
    <w:p w14:paraId="6B042319" w14:textId="77777777" w:rsidR="004832C2" w:rsidRPr="005D240C" w:rsidRDefault="004832C2" w:rsidP="00035492">
      <w:pPr>
        <w:pStyle w:val="NormalWeb"/>
        <w:spacing w:before="240" w:beforeAutospacing="0" w:after="0" w:afterAutospacing="0"/>
        <w:rPr>
          <w:rFonts w:ascii="Calibri" w:hAnsi="Calibri" w:cs="Calibri"/>
          <w:color w:val="000000"/>
        </w:rPr>
      </w:pPr>
    </w:p>
    <w:p w14:paraId="564CDD10" w14:textId="4930AA5A" w:rsidR="004832C2" w:rsidRPr="005D240C" w:rsidRDefault="00035492" w:rsidP="004832C2">
      <w:pPr>
        <w:pStyle w:val="NormalWeb"/>
        <w:spacing w:before="0" w:beforeAutospacing="0" w:after="0" w:afterAutospacing="0"/>
        <w:rPr>
          <w:rFonts w:ascii="Calibri" w:hAnsi="Calibri" w:cs="Calibri"/>
          <w:b/>
          <w:bCs/>
          <w:color w:val="000000"/>
        </w:rPr>
      </w:pPr>
      <w:r w:rsidRPr="005D240C">
        <w:rPr>
          <w:rFonts w:ascii="Calibri" w:hAnsi="Calibri" w:cs="Calibri"/>
          <w:b/>
          <w:bCs/>
          <w:color w:val="000000"/>
        </w:rPr>
        <w:t>Authors</w:t>
      </w:r>
    </w:p>
    <w:p w14:paraId="1A3F318B" w14:textId="77777777" w:rsidR="004832C2" w:rsidRPr="005D240C" w:rsidRDefault="004832C2" w:rsidP="004832C2">
      <w:pPr>
        <w:pStyle w:val="NormalWeb"/>
        <w:spacing w:before="0" w:beforeAutospacing="0" w:after="0" w:afterAutospacing="0"/>
        <w:rPr>
          <w:rFonts w:ascii="Calibri" w:hAnsi="Calibri" w:cs="Calibri"/>
          <w:b/>
          <w:bCs/>
          <w:color w:val="000000"/>
        </w:rPr>
      </w:pPr>
    </w:p>
    <w:p w14:paraId="6187BCF3" w14:textId="3340603B" w:rsidR="00D33B43" w:rsidRDefault="00D33B43" w:rsidP="004832C2">
      <w:pPr>
        <w:spacing w:after="240"/>
        <w:rPr>
          <w:rFonts w:ascii="Arial Unicode MS" w:eastAsia="Arial Unicode MS" w:hAnsi="Arial Unicode MS" w:cs="Arial Unicode MS"/>
          <w:color w:val="000000" w:themeColor="text1"/>
          <w:sz w:val="24"/>
          <w:szCs w:val="24"/>
          <w:vertAlign w:val="superscript"/>
        </w:rPr>
      </w:pPr>
      <w:r w:rsidRPr="005D240C">
        <w:rPr>
          <w:rFonts w:cs="Calibri"/>
          <w:color w:val="000000" w:themeColor="text1"/>
          <w:sz w:val="24"/>
          <w:szCs w:val="24"/>
        </w:rPr>
        <w:t>Christina Johne</w:t>
      </w:r>
      <w:proofErr w:type="gramStart"/>
      <w:r w:rsidRPr="005D240C">
        <w:rPr>
          <w:rFonts w:cs="Calibri"/>
          <w:color w:val="000000" w:themeColor="text1"/>
          <w:sz w:val="24"/>
          <w:szCs w:val="24"/>
        </w:rPr>
        <w:t>¹</w:t>
      </w:r>
      <w:r w:rsidR="00445AE0" w:rsidRPr="00445AE0">
        <w:rPr>
          <w:rFonts w:cs="Calibri"/>
          <w:color w:val="000000" w:themeColor="text1"/>
          <w:sz w:val="24"/>
          <w:szCs w:val="24"/>
          <w:vertAlign w:val="superscript"/>
        </w:rPr>
        <w:t>,</w:t>
      </w:r>
      <w:r w:rsidR="00D74FB7" w:rsidRPr="005D240C">
        <w:rPr>
          <w:rFonts w:cs="Calibri"/>
          <w:color w:val="000000" w:themeColor="text1"/>
          <w:sz w:val="24"/>
          <w:szCs w:val="24"/>
          <w:vertAlign w:val="superscript"/>
        </w:rPr>
        <w:t>#</w:t>
      </w:r>
      <w:proofErr w:type="gramEnd"/>
      <w:r w:rsidR="00E74B70">
        <w:rPr>
          <w:rFonts w:cs="Calibri"/>
          <w:color w:val="000000" w:themeColor="text1"/>
          <w:sz w:val="24"/>
          <w:szCs w:val="24"/>
        </w:rPr>
        <w:t>,</w:t>
      </w:r>
      <w:r w:rsidRPr="005D240C">
        <w:rPr>
          <w:rFonts w:cs="Calibri"/>
          <w:color w:val="000000" w:themeColor="text1"/>
          <w:sz w:val="24"/>
          <w:szCs w:val="24"/>
        </w:rPr>
        <w:t>Mason Kramer</w:t>
      </w:r>
      <w:proofErr w:type="gramStart"/>
      <w:r w:rsidRPr="005D240C">
        <w:rPr>
          <w:rFonts w:cs="Calibri"/>
          <w:color w:val="000000" w:themeColor="text1"/>
          <w:sz w:val="24"/>
          <w:szCs w:val="24"/>
        </w:rPr>
        <w:t>¹</w:t>
      </w:r>
      <w:r w:rsidR="00445AE0" w:rsidRPr="00445AE0">
        <w:rPr>
          <w:rFonts w:cs="Calibri"/>
          <w:color w:val="000000" w:themeColor="text1"/>
          <w:sz w:val="24"/>
          <w:szCs w:val="24"/>
          <w:vertAlign w:val="superscript"/>
        </w:rPr>
        <w:t>,</w:t>
      </w:r>
      <w:r w:rsidR="00D74FB7" w:rsidRPr="005D240C">
        <w:rPr>
          <w:rFonts w:cs="Calibri"/>
          <w:color w:val="000000" w:themeColor="text1"/>
          <w:sz w:val="24"/>
          <w:szCs w:val="24"/>
          <w:vertAlign w:val="superscript"/>
        </w:rPr>
        <w:t>#</w:t>
      </w:r>
      <w:proofErr w:type="gramEnd"/>
      <w:r w:rsidRPr="005D240C">
        <w:rPr>
          <w:rFonts w:cs="Calibri"/>
          <w:color w:val="000000" w:themeColor="text1"/>
          <w:sz w:val="24"/>
          <w:szCs w:val="24"/>
        </w:rPr>
        <w:t>, Raneem Makrai</w:t>
      </w:r>
      <w:proofErr w:type="gramStart"/>
      <w:r w:rsidR="0EE6A29C" w:rsidRPr="005D240C">
        <w:rPr>
          <w:rFonts w:cs="Calibri"/>
          <w:color w:val="000000" w:themeColor="text1"/>
          <w:sz w:val="24"/>
          <w:szCs w:val="24"/>
        </w:rPr>
        <w:t>¹</w:t>
      </w:r>
      <w:r w:rsidR="00445AE0" w:rsidRPr="00445AE0">
        <w:rPr>
          <w:rFonts w:cs="Calibri"/>
          <w:color w:val="000000" w:themeColor="text1"/>
          <w:sz w:val="24"/>
          <w:szCs w:val="24"/>
          <w:vertAlign w:val="superscript"/>
        </w:rPr>
        <w:t>,</w:t>
      </w:r>
      <w:r w:rsidR="00D74FB7" w:rsidRPr="005D240C">
        <w:rPr>
          <w:rFonts w:cs="Calibri"/>
          <w:color w:val="000000" w:themeColor="text1"/>
          <w:sz w:val="24"/>
          <w:szCs w:val="24"/>
          <w:vertAlign w:val="superscript"/>
        </w:rPr>
        <w:t>#</w:t>
      </w:r>
      <w:proofErr w:type="gramEnd"/>
      <w:r w:rsidR="0EE6A29C" w:rsidRPr="005D240C">
        <w:rPr>
          <w:rFonts w:cs="Calibri"/>
          <w:color w:val="000000" w:themeColor="text1"/>
          <w:sz w:val="24"/>
          <w:szCs w:val="24"/>
        </w:rPr>
        <w:t xml:space="preserve">, </w:t>
      </w:r>
      <w:r w:rsidRPr="005D240C">
        <w:rPr>
          <w:rFonts w:cs="Calibri"/>
          <w:color w:val="000000" w:themeColor="text1"/>
          <w:sz w:val="24"/>
          <w:szCs w:val="24"/>
        </w:rPr>
        <w:t>Holly Moffett</w:t>
      </w:r>
      <w:proofErr w:type="gramStart"/>
      <w:r w:rsidRPr="005D240C">
        <w:rPr>
          <w:rFonts w:cs="Calibri"/>
          <w:color w:val="000000" w:themeColor="text1"/>
          <w:sz w:val="24"/>
          <w:szCs w:val="24"/>
        </w:rPr>
        <w:t>¹</w:t>
      </w:r>
      <w:r w:rsidR="00445AE0" w:rsidRPr="00445AE0">
        <w:rPr>
          <w:rFonts w:cs="Calibri"/>
          <w:color w:val="000000" w:themeColor="text1"/>
          <w:sz w:val="24"/>
          <w:szCs w:val="24"/>
          <w:vertAlign w:val="superscript"/>
        </w:rPr>
        <w:t>,</w:t>
      </w:r>
      <w:r w:rsidR="00D74FB7" w:rsidRPr="005D240C">
        <w:rPr>
          <w:rFonts w:cs="Calibri"/>
          <w:color w:val="000000" w:themeColor="text1"/>
          <w:sz w:val="24"/>
          <w:szCs w:val="24"/>
          <w:vertAlign w:val="superscript"/>
        </w:rPr>
        <w:t>#</w:t>
      </w:r>
      <w:proofErr w:type="gramEnd"/>
      <w:r w:rsidRPr="005D240C">
        <w:rPr>
          <w:rFonts w:cs="Calibri"/>
          <w:color w:val="000000" w:themeColor="text1"/>
          <w:sz w:val="24"/>
          <w:szCs w:val="24"/>
        </w:rPr>
        <w:t xml:space="preserve">, Fiona </w:t>
      </w:r>
      <w:proofErr w:type="spellStart"/>
      <w:r w:rsidRPr="005D240C">
        <w:rPr>
          <w:rFonts w:cs="Calibri"/>
          <w:color w:val="000000" w:themeColor="text1"/>
          <w:sz w:val="24"/>
          <w:szCs w:val="24"/>
        </w:rPr>
        <w:t>Shavilof</w:t>
      </w:r>
      <w:proofErr w:type="spellEnd"/>
      <w:r w:rsidRPr="005D240C">
        <w:rPr>
          <w:rFonts w:cs="Calibri"/>
          <w:color w:val="000000" w:themeColor="text1"/>
          <w:sz w:val="24"/>
          <w:szCs w:val="24"/>
        </w:rPr>
        <w:t xml:space="preserve"> </w:t>
      </w:r>
      <w:proofErr w:type="gramStart"/>
      <w:r w:rsidRPr="005D240C">
        <w:rPr>
          <w:rFonts w:cs="Calibri"/>
          <w:color w:val="000000" w:themeColor="text1"/>
          <w:sz w:val="24"/>
          <w:szCs w:val="24"/>
        </w:rPr>
        <w:t>¹</w:t>
      </w:r>
      <w:r w:rsidR="00445AE0" w:rsidRPr="00445AE0">
        <w:rPr>
          <w:rFonts w:cs="Calibri"/>
          <w:color w:val="000000" w:themeColor="text1"/>
          <w:sz w:val="24"/>
          <w:szCs w:val="24"/>
          <w:vertAlign w:val="superscript"/>
        </w:rPr>
        <w:t>,</w:t>
      </w:r>
      <w:r w:rsidR="00D74FB7" w:rsidRPr="005D240C">
        <w:rPr>
          <w:rFonts w:cs="Calibri"/>
          <w:color w:val="000000" w:themeColor="text1"/>
          <w:sz w:val="24"/>
          <w:szCs w:val="24"/>
          <w:vertAlign w:val="superscript"/>
        </w:rPr>
        <w:t>#</w:t>
      </w:r>
      <w:proofErr w:type="gramEnd"/>
      <w:r w:rsidRPr="005D240C">
        <w:rPr>
          <w:rFonts w:cs="Calibri"/>
          <w:color w:val="000000" w:themeColor="text1"/>
          <w:sz w:val="24"/>
          <w:szCs w:val="24"/>
        </w:rPr>
        <w:t>, Tricia A. Van Laar</w:t>
      </w:r>
      <w:r w:rsidRPr="1000A871">
        <w:rPr>
          <w:rFonts w:cs="Calibri"/>
          <w:color w:val="000000" w:themeColor="text1"/>
          <w:sz w:val="24"/>
          <w:szCs w:val="24"/>
        </w:rPr>
        <w:t xml:space="preserve"> ¹</w:t>
      </w:r>
      <w:r w:rsidRPr="1000A871">
        <w:rPr>
          <w:rFonts w:cs="Calibri"/>
          <w:color w:val="000000" w:themeColor="text1"/>
          <w:sz w:val="24"/>
          <w:szCs w:val="24"/>
          <w:vertAlign w:val="superscript"/>
        </w:rPr>
        <w:t>,</w:t>
      </w:r>
      <w:hyperlink r:id="rId8" w:history="1">
        <w:r w:rsidRPr="00AF0F9F">
          <w:rPr>
            <w:rStyle w:val="Hyperlink"/>
            <w:rFonts w:ascii="-webkit-standard" w:hAnsi="-webkit-standard"/>
            <w:sz w:val="24"/>
            <w:szCs w:val="24"/>
            <w:vertAlign w:val="superscript"/>
          </w:rPr>
          <w:t xml:space="preserve"> </w:t>
        </w:r>
        <w:r w:rsidRPr="00AF0F9F">
          <w:rPr>
            <w:rStyle w:val="Hyperlink"/>
            <w:rFonts w:ascii="Arial Unicode MS" w:eastAsia="Arial Unicode MS" w:hAnsi="Arial Unicode MS" w:cs="Arial Unicode MS"/>
            <w:sz w:val="24"/>
            <w:szCs w:val="24"/>
            <w:vertAlign w:val="superscript"/>
          </w:rPr>
          <w:t>✉</w:t>
        </w:r>
      </w:hyperlink>
    </w:p>
    <w:p w14:paraId="1B99BE1C" w14:textId="5EC5EF6D" w:rsidR="00420C0E" w:rsidRPr="005D240C" w:rsidRDefault="00420C0E" w:rsidP="00035492">
      <w:pPr>
        <w:pStyle w:val="NormalWeb"/>
        <w:spacing w:before="240" w:beforeAutospacing="0" w:after="0" w:afterAutospacing="0"/>
        <w:rPr>
          <w:rFonts w:ascii="Calibri" w:hAnsi="Calibri" w:cs="Calibri"/>
          <w:color w:val="000000" w:themeColor="text1"/>
          <w:shd w:val="clear" w:color="auto" w:fill="FFFFFF"/>
        </w:rPr>
      </w:pPr>
      <w:r w:rsidRPr="005D240C">
        <w:rPr>
          <w:rFonts w:ascii="Calibri" w:hAnsi="Calibri" w:cs="Calibri"/>
          <w:color w:val="000000" w:themeColor="text1"/>
          <w:shd w:val="clear" w:color="auto" w:fill="FFFFFF"/>
        </w:rPr>
        <w:t xml:space="preserve">All authors contributed equally to this </w:t>
      </w:r>
      <w:r w:rsidR="002A64AF" w:rsidRPr="005D240C">
        <w:rPr>
          <w:rFonts w:ascii="Calibri" w:hAnsi="Calibri" w:cs="Calibri"/>
          <w:color w:val="000000" w:themeColor="text1"/>
          <w:shd w:val="clear" w:color="auto" w:fill="FFFFFF"/>
        </w:rPr>
        <w:t>work</w:t>
      </w:r>
      <w:r w:rsidRPr="005D240C">
        <w:rPr>
          <w:rFonts w:ascii="Calibri" w:hAnsi="Calibri" w:cs="Calibri"/>
          <w:color w:val="000000" w:themeColor="text1"/>
          <w:shd w:val="clear" w:color="auto" w:fill="FFFFFF"/>
        </w:rPr>
        <w:t xml:space="preserve">. Author order </w:t>
      </w:r>
      <w:r w:rsidR="00AF2C43" w:rsidRPr="005D240C">
        <w:rPr>
          <w:rFonts w:ascii="Calibri" w:hAnsi="Calibri" w:cs="Calibri"/>
          <w:color w:val="000000" w:themeColor="text1"/>
          <w:shd w:val="clear" w:color="auto" w:fill="FFFFFF"/>
        </w:rPr>
        <w:t xml:space="preserve">was </w:t>
      </w:r>
      <w:r w:rsidRPr="005D240C">
        <w:rPr>
          <w:rFonts w:ascii="Calibri" w:hAnsi="Calibri" w:cs="Calibri"/>
          <w:color w:val="000000" w:themeColor="text1"/>
          <w:shd w:val="clear" w:color="auto" w:fill="FFFFFF"/>
        </w:rPr>
        <w:t>determined alphabetically by surname.</w:t>
      </w:r>
    </w:p>
    <w:p w14:paraId="60087F91" w14:textId="77777777" w:rsidR="004832C2" w:rsidRPr="005D240C" w:rsidRDefault="004832C2" w:rsidP="00035492">
      <w:pPr>
        <w:pStyle w:val="NormalWeb"/>
        <w:spacing w:before="240" w:beforeAutospacing="0" w:after="0" w:afterAutospacing="0"/>
        <w:rPr>
          <w:rFonts w:ascii="Calibri" w:hAnsi="Calibri" w:cs="Calibri"/>
          <w:color w:val="000000" w:themeColor="text1"/>
          <w:shd w:val="clear" w:color="auto" w:fill="FFFFFF"/>
        </w:rPr>
      </w:pPr>
    </w:p>
    <w:p w14:paraId="31AF7E43" w14:textId="4D82523D" w:rsidR="00035492" w:rsidRPr="005D240C" w:rsidRDefault="00035492" w:rsidP="00035492">
      <w:pPr>
        <w:pStyle w:val="NormalWeb"/>
        <w:spacing w:before="240" w:beforeAutospacing="0" w:after="0" w:afterAutospacing="0"/>
        <w:rPr>
          <w:rFonts w:ascii="Calibri" w:hAnsi="Calibri" w:cs="Calibri"/>
        </w:rPr>
      </w:pPr>
      <w:r w:rsidRPr="005D240C">
        <w:rPr>
          <w:rFonts w:ascii="Calibri" w:hAnsi="Calibri" w:cs="Calibri"/>
          <w:b/>
          <w:bCs/>
          <w:color w:val="000000"/>
        </w:rPr>
        <w:t>Affiliations</w:t>
      </w:r>
    </w:p>
    <w:p w14:paraId="0E8D6B3E" w14:textId="77777777" w:rsidR="00B42BB5" w:rsidRPr="005D240C" w:rsidRDefault="00B42BB5" w:rsidP="00035492">
      <w:pPr>
        <w:pStyle w:val="NormalWeb"/>
        <w:spacing w:before="240" w:beforeAutospacing="0" w:after="0" w:afterAutospacing="0"/>
        <w:rPr>
          <w:rFonts w:ascii="Calibri" w:hAnsi="Calibri" w:cs="Calibri"/>
          <w:color w:val="000000"/>
        </w:rPr>
      </w:pPr>
      <w:r w:rsidRPr="005D240C">
        <w:rPr>
          <w:rStyle w:val="Strong"/>
          <w:rFonts w:ascii="Calibri" w:hAnsi="Calibri" w:cs="Calibri"/>
          <w:color w:val="000000"/>
        </w:rPr>
        <w:t>ᵃ</w:t>
      </w:r>
      <w:r w:rsidRPr="005D240C">
        <w:rPr>
          <w:rFonts w:ascii="Calibri" w:hAnsi="Calibri" w:cs="Calibri"/>
          <w:color w:val="000000"/>
        </w:rPr>
        <w:t>Department of Biological Sciences, California State University, Stanislaus, Turlock, California, USA</w:t>
      </w:r>
    </w:p>
    <w:p w14:paraId="4F4FFD5F" w14:textId="77777777" w:rsidR="004832C2" w:rsidRPr="005D240C" w:rsidRDefault="004832C2" w:rsidP="00035492">
      <w:pPr>
        <w:pStyle w:val="NormalWeb"/>
        <w:spacing w:before="240" w:beforeAutospacing="0" w:after="0" w:afterAutospacing="0"/>
        <w:rPr>
          <w:rFonts w:ascii="Calibri" w:hAnsi="Calibri" w:cs="Calibri"/>
          <w:color w:val="000000"/>
        </w:rPr>
      </w:pPr>
    </w:p>
    <w:p w14:paraId="59FFE63E" w14:textId="68187D57" w:rsidR="00035492" w:rsidRPr="005D240C" w:rsidRDefault="00035492" w:rsidP="00035492">
      <w:pPr>
        <w:pStyle w:val="NormalWeb"/>
        <w:spacing w:before="240" w:beforeAutospacing="0" w:after="0" w:afterAutospacing="0"/>
        <w:rPr>
          <w:rFonts w:ascii="Calibri" w:hAnsi="Calibri" w:cs="Calibri"/>
          <w:b/>
          <w:bCs/>
          <w:color w:val="000000"/>
        </w:rPr>
      </w:pPr>
      <w:r w:rsidRPr="005D240C">
        <w:rPr>
          <w:rFonts w:ascii="Calibri" w:hAnsi="Calibri" w:cs="Calibri"/>
          <w:b/>
          <w:bCs/>
          <w:color w:val="000000"/>
        </w:rPr>
        <w:t>Running title</w:t>
      </w:r>
    </w:p>
    <w:p w14:paraId="2B1C84B8" w14:textId="77777777" w:rsidR="004832C2" w:rsidRPr="005D240C" w:rsidRDefault="004832C2" w:rsidP="004832C2">
      <w:pPr>
        <w:pStyle w:val="NormalWeb"/>
        <w:spacing w:before="0" w:beforeAutospacing="0" w:after="0" w:afterAutospacing="0"/>
        <w:rPr>
          <w:rFonts w:ascii="Calibri" w:hAnsi="Calibri" w:cs="Calibri"/>
        </w:rPr>
      </w:pPr>
    </w:p>
    <w:p w14:paraId="4930ABD8" w14:textId="6E72FCEB" w:rsidR="00035492" w:rsidRPr="005D240C" w:rsidRDefault="00B42BB5" w:rsidP="00B42BB5">
      <w:pPr>
        <w:spacing w:after="240"/>
        <w:rPr>
          <w:rFonts w:cs="Calibri"/>
          <w:color w:val="000000"/>
          <w:sz w:val="24"/>
          <w:szCs w:val="24"/>
        </w:rPr>
      </w:pPr>
      <w:r w:rsidRPr="005D240C">
        <w:rPr>
          <w:rFonts w:cs="Calibri"/>
          <w:color w:val="000000"/>
          <w:sz w:val="24"/>
          <w:szCs w:val="24"/>
        </w:rPr>
        <w:t>Genome of</w:t>
      </w:r>
      <w:r w:rsidRPr="005D240C">
        <w:rPr>
          <w:rStyle w:val="apple-converted-space"/>
          <w:rFonts w:cs="Calibri"/>
          <w:color w:val="000000"/>
          <w:sz w:val="24"/>
          <w:szCs w:val="24"/>
        </w:rPr>
        <w:t> </w:t>
      </w:r>
      <w:r w:rsidRPr="005D240C">
        <w:rPr>
          <w:rStyle w:val="Emphasis"/>
          <w:rFonts w:cs="Calibri"/>
          <w:color w:val="000000"/>
          <w:sz w:val="24"/>
          <w:szCs w:val="24"/>
        </w:rPr>
        <w:t xml:space="preserve">I. </w:t>
      </w:r>
      <w:proofErr w:type="spellStart"/>
      <w:r w:rsidRPr="005D240C">
        <w:rPr>
          <w:rStyle w:val="Emphasis"/>
          <w:rFonts w:cs="Calibri"/>
          <w:color w:val="000000"/>
          <w:sz w:val="24"/>
          <w:szCs w:val="24"/>
        </w:rPr>
        <w:t>bartletti</w:t>
      </w:r>
      <w:proofErr w:type="spellEnd"/>
      <w:r w:rsidRPr="005D240C">
        <w:rPr>
          <w:rStyle w:val="apple-converted-space"/>
          <w:rFonts w:cs="Calibri"/>
          <w:color w:val="000000"/>
          <w:sz w:val="24"/>
          <w:szCs w:val="24"/>
        </w:rPr>
        <w:t> </w:t>
      </w:r>
      <w:r w:rsidRPr="005D240C">
        <w:rPr>
          <w:rFonts w:cs="Calibri"/>
          <w:color w:val="000000"/>
          <w:sz w:val="24"/>
          <w:szCs w:val="24"/>
        </w:rPr>
        <w:t>DSM 16795 from Human Gut</w:t>
      </w:r>
    </w:p>
    <w:p w14:paraId="1B697BD3" w14:textId="77777777" w:rsidR="004832C2" w:rsidRPr="005D240C" w:rsidRDefault="004832C2" w:rsidP="00035492">
      <w:pPr>
        <w:pStyle w:val="NormalWeb"/>
        <w:spacing w:before="240" w:beforeAutospacing="0" w:after="240" w:afterAutospacing="0"/>
        <w:rPr>
          <w:rFonts w:ascii="Calibri" w:hAnsi="Calibri" w:cs="Calibri"/>
          <w:b/>
          <w:bCs/>
          <w:color w:val="000000"/>
        </w:rPr>
      </w:pPr>
    </w:p>
    <w:p w14:paraId="3A6E050B" w14:textId="77777777" w:rsidR="006B135C" w:rsidRPr="005D240C" w:rsidRDefault="006B135C" w:rsidP="006B135C">
      <w:pPr>
        <w:pStyle w:val="NormalWeb"/>
        <w:spacing w:before="240" w:beforeAutospacing="0" w:after="0" w:afterAutospacing="0"/>
        <w:rPr>
          <w:rFonts w:ascii="Calibri" w:hAnsi="Calibri" w:cs="Calibri"/>
        </w:rPr>
      </w:pPr>
      <w:r w:rsidRPr="005D240C">
        <w:rPr>
          <w:rFonts w:ascii="Calibri" w:hAnsi="Calibri" w:cs="Calibri"/>
          <w:b/>
          <w:bCs/>
          <w:color w:val="000000"/>
        </w:rPr>
        <w:t>Corresponding author’s email address</w:t>
      </w:r>
    </w:p>
    <w:p w14:paraId="3B9B4B51" w14:textId="5BC97B89" w:rsidR="004832C2" w:rsidRPr="005D240C" w:rsidRDefault="00FF265E" w:rsidP="00035492">
      <w:pPr>
        <w:pStyle w:val="NormalWeb"/>
        <w:spacing w:before="240" w:beforeAutospacing="0" w:after="240" w:afterAutospacing="0"/>
        <w:rPr>
          <w:rFonts w:ascii="Calibri" w:hAnsi="Calibri" w:cs="Calibri"/>
          <w:b/>
          <w:bCs/>
          <w:color w:val="000000"/>
        </w:rPr>
      </w:pPr>
      <w:r w:rsidRPr="005D240C">
        <w:rPr>
          <w:rFonts w:ascii="Calibri" w:hAnsi="Calibri" w:cs="Calibri"/>
          <w:color w:val="000000"/>
        </w:rPr>
        <w:t>#</w:t>
      </w:r>
      <w:r w:rsidR="00802ED2" w:rsidRPr="005D240C">
        <w:rPr>
          <w:rFonts w:ascii="Calibri" w:hAnsi="Calibri" w:cs="Calibri"/>
          <w:color w:val="000000"/>
        </w:rPr>
        <w:t>Address</w:t>
      </w:r>
      <w:r w:rsidR="00617CD9" w:rsidRPr="005D240C">
        <w:rPr>
          <w:rFonts w:ascii="Calibri" w:hAnsi="Calibri" w:cs="Calibri"/>
          <w:color w:val="000000"/>
        </w:rPr>
        <w:t xml:space="preserve"> correspondence </w:t>
      </w:r>
      <w:r w:rsidR="00316CBD" w:rsidRPr="005D240C">
        <w:rPr>
          <w:rFonts w:ascii="Calibri" w:hAnsi="Calibri" w:cs="Calibri"/>
          <w:color w:val="000000"/>
        </w:rPr>
        <w:t>to Tricia Van Laar, tvanlaar@csustan.edu.</w:t>
      </w:r>
    </w:p>
    <w:p w14:paraId="6A77CE7A" w14:textId="77777777" w:rsidR="004832C2" w:rsidRPr="005D240C" w:rsidRDefault="004832C2" w:rsidP="00035492">
      <w:pPr>
        <w:pStyle w:val="NormalWeb"/>
        <w:spacing w:before="240" w:beforeAutospacing="0" w:after="240" w:afterAutospacing="0"/>
        <w:rPr>
          <w:rFonts w:ascii="Calibri" w:hAnsi="Calibri" w:cs="Calibri"/>
          <w:b/>
          <w:bCs/>
          <w:color w:val="000000"/>
        </w:rPr>
      </w:pPr>
    </w:p>
    <w:p w14:paraId="217CB4BD" w14:textId="77777777" w:rsidR="004832C2" w:rsidRDefault="004832C2" w:rsidP="00035492">
      <w:pPr>
        <w:pStyle w:val="NormalWeb"/>
        <w:spacing w:before="240" w:beforeAutospacing="0" w:after="240" w:afterAutospacing="0"/>
        <w:rPr>
          <w:rFonts w:ascii="Calibri" w:hAnsi="Calibri" w:cs="Calibri"/>
          <w:b/>
          <w:bCs/>
          <w:color w:val="000000"/>
        </w:rPr>
      </w:pPr>
    </w:p>
    <w:p w14:paraId="3DCF290D" w14:textId="77777777" w:rsidR="005D240C" w:rsidRDefault="005D240C" w:rsidP="00035492">
      <w:pPr>
        <w:pStyle w:val="NormalWeb"/>
        <w:spacing w:before="240" w:beforeAutospacing="0" w:after="240" w:afterAutospacing="0"/>
        <w:rPr>
          <w:rFonts w:ascii="Calibri" w:hAnsi="Calibri" w:cs="Calibri"/>
          <w:b/>
          <w:bCs/>
          <w:color w:val="000000"/>
        </w:rPr>
      </w:pPr>
    </w:p>
    <w:p w14:paraId="3BDE5D5A" w14:textId="77777777" w:rsidR="005D240C" w:rsidRPr="005D240C" w:rsidRDefault="005D240C" w:rsidP="00035492">
      <w:pPr>
        <w:pStyle w:val="NormalWeb"/>
        <w:spacing w:before="240" w:beforeAutospacing="0" w:after="240" w:afterAutospacing="0"/>
        <w:rPr>
          <w:rFonts w:ascii="Calibri" w:hAnsi="Calibri" w:cs="Calibri"/>
          <w:b/>
          <w:bCs/>
          <w:color w:val="000000"/>
        </w:rPr>
      </w:pPr>
    </w:p>
    <w:p w14:paraId="2B8A1FA0" w14:textId="77777777" w:rsidR="004832C2" w:rsidRPr="005D240C" w:rsidRDefault="004832C2" w:rsidP="00035492">
      <w:pPr>
        <w:pStyle w:val="NormalWeb"/>
        <w:spacing w:before="240" w:beforeAutospacing="0" w:after="240" w:afterAutospacing="0"/>
        <w:rPr>
          <w:rFonts w:ascii="Calibri" w:hAnsi="Calibri" w:cs="Calibri"/>
          <w:b/>
          <w:bCs/>
          <w:color w:val="000000"/>
        </w:rPr>
      </w:pPr>
    </w:p>
    <w:p w14:paraId="6A502685" w14:textId="77A5B7D3" w:rsidR="00035492" w:rsidRPr="00E03B48" w:rsidRDefault="00035492" w:rsidP="00035492">
      <w:pPr>
        <w:pStyle w:val="NormalWeb"/>
        <w:spacing w:before="240" w:beforeAutospacing="0" w:after="240" w:afterAutospacing="0"/>
        <w:rPr>
          <w:rFonts w:ascii="Calibri" w:hAnsi="Calibri" w:cs="Calibri"/>
        </w:rPr>
      </w:pPr>
      <w:r w:rsidRPr="00E03B48">
        <w:rPr>
          <w:rFonts w:ascii="Calibri" w:hAnsi="Calibri" w:cs="Calibri"/>
          <w:b/>
          <w:bCs/>
          <w:color w:val="000000"/>
        </w:rPr>
        <w:lastRenderedPageBreak/>
        <w:t>Abstract</w:t>
      </w:r>
    </w:p>
    <w:p w14:paraId="07D88E82" w14:textId="08CD83B0" w:rsidR="00E300F6" w:rsidRPr="00E03B48" w:rsidRDefault="00E300F6" w:rsidP="00E300F6">
      <w:pPr>
        <w:spacing w:after="240" w:line="240" w:lineRule="auto"/>
        <w:rPr>
          <w:rFonts w:cs="Calibri"/>
          <w:color w:val="000000"/>
          <w:sz w:val="24"/>
          <w:szCs w:val="24"/>
        </w:rPr>
      </w:pPr>
      <w:r w:rsidRPr="00E03B48">
        <w:rPr>
          <w:rFonts w:cs="Calibri"/>
          <w:color w:val="000000" w:themeColor="text1"/>
          <w:sz w:val="24"/>
          <w:szCs w:val="24"/>
        </w:rPr>
        <w:t xml:space="preserve">Here we present the draft genome sequence of </w:t>
      </w:r>
      <w:proofErr w:type="spellStart"/>
      <w:r w:rsidRPr="00E03B48">
        <w:rPr>
          <w:rFonts w:cs="Calibri"/>
          <w:i/>
          <w:color w:val="000000" w:themeColor="text1"/>
          <w:sz w:val="24"/>
          <w:szCs w:val="24"/>
        </w:rPr>
        <w:t>Intestinibacter</w:t>
      </w:r>
      <w:proofErr w:type="spellEnd"/>
      <w:r w:rsidRPr="00E03B48">
        <w:rPr>
          <w:rFonts w:cs="Calibri"/>
          <w:i/>
          <w:color w:val="000000" w:themeColor="text1"/>
          <w:sz w:val="24"/>
          <w:szCs w:val="24"/>
        </w:rPr>
        <w:t xml:space="preserve"> </w:t>
      </w:r>
      <w:proofErr w:type="spellStart"/>
      <w:r w:rsidRPr="00E03B48">
        <w:rPr>
          <w:rFonts w:cs="Calibri"/>
          <w:i/>
          <w:color w:val="000000" w:themeColor="text1"/>
          <w:sz w:val="24"/>
          <w:szCs w:val="24"/>
        </w:rPr>
        <w:t>bartletti</w:t>
      </w:r>
      <w:proofErr w:type="spellEnd"/>
      <w:r w:rsidRPr="00E03B48">
        <w:rPr>
          <w:rFonts w:cs="Calibri"/>
          <w:i/>
          <w:color w:val="000000" w:themeColor="text1"/>
          <w:sz w:val="24"/>
          <w:szCs w:val="24"/>
        </w:rPr>
        <w:t xml:space="preserve"> </w:t>
      </w:r>
      <w:r w:rsidRPr="00E03B48">
        <w:rPr>
          <w:rFonts w:cs="Calibri"/>
          <w:color w:val="000000" w:themeColor="text1"/>
          <w:sz w:val="24"/>
          <w:szCs w:val="24"/>
        </w:rPr>
        <w:t xml:space="preserve">DSM 16795, a human gut isolate of interest in autism-associated microbiome studies. The genome spans 2.97 Mb across 22 contigs, with a GC content of 28.84% and 100% estimated completeness. Key genomic features include virulence factors, </w:t>
      </w:r>
      <w:r w:rsidR="09B24943" w:rsidRPr="00E03B48">
        <w:rPr>
          <w:rFonts w:cs="Calibri"/>
          <w:color w:val="000000" w:themeColor="text1"/>
          <w:sz w:val="24"/>
          <w:szCs w:val="24"/>
        </w:rPr>
        <w:t>antibiotic</w:t>
      </w:r>
      <w:r w:rsidRPr="00E03B48">
        <w:rPr>
          <w:rFonts w:cs="Calibri"/>
          <w:color w:val="000000" w:themeColor="text1"/>
          <w:sz w:val="24"/>
          <w:szCs w:val="24"/>
        </w:rPr>
        <w:t xml:space="preserve"> resistance genes, biosynthetic clusters, and CRISRP-Cas loci.</w:t>
      </w:r>
    </w:p>
    <w:p w14:paraId="4A52B4EF" w14:textId="77777777" w:rsidR="005D240C" w:rsidRPr="00E03B48" w:rsidRDefault="00035492" w:rsidP="005D240C">
      <w:pPr>
        <w:pStyle w:val="NormalWeb"/>
        <w:spacing w:before="240" w:beforeAutospacing="0" w:after="240" w:afterAutospacing="0"/>
        <w:rPr>
          <w:rFonts w:ascii="Calibri" w:hAnsi="Calibri" w:cs="Calibri"/>
          <w:b/>
          <w:color w:val="000000" w:themeColor="text1"/>
        </w:rPr>
      </w:pPr>
      <w:r w:rsidRPr="00E03B48">
        <w:rPr>
          <w:rFonts w:ascii="Calibri" w:hAnsi="Calibri" w:cs="Calibri"/>
          <w:b/>
          <w:color w:val="000000" w:themeColor="text1"/>
        </w:rPr>
        <w:t>Announcement</w:t>
      </w:r>
    </w:p>
    <w:p w14:paraId="39EC17A2" w14:textId="77777777" w:rsidR="00FC273B" w:rsidRPr="00E03B48" w:rsidRDefault="00FC273B" w:rsidP="00FC273B">
      <w:pPr>
        <w:pStyle w:val="NormalWeb"/>
        <w:spacing w:before="240" w:beforeAutospacing="0" w:after="240" w:afterAutospacing="0"/>
        <w:rPr>
          <w:rFonts w:ascii="Calibri" w:hAnsi="Calibri" w:cs="Calibri"/>
          <w:b/>
          <w:color w:val="000000" w:themeColor="text1"/>
        </w:rPr>
      </w:pPr>
      <w:r w:rsidRPr="00E03B48">
        <w:rPr>
          <w:rFonts w:ascii="Calibri" w:hAnsi="Calibri" w:cs="Calibri"/>
          <w:color w:val="000000" w:themeColor="text1"/>
        </w:rPr>
        <w:t xml:space="preserve">Gut microbiota dysbiosis has been increasingly implicated in late-onset autism, particularly in individuals with elevated levels of </w:t>
      </w:r>
      <w:r w:rsidRPr="00E03B48">
        <w:rPr>
          <w:rFonts w:ascii="Calibri" w:hAnsi="Calibri" w:cs="Calibri"/>
          <w:i/>
          <w:iCs/>
          <w:color w:val="000000" w:themeColor="text1"/>
        </w:rPr>
        <w:t xml:space="preserve">Clostridial species </w:t>
      </w:r>
      <w:r w:rsidRPr="00E03B48">
        <w:rPr>
          <w:rFonts w:ascii="Calibri" w:hAnsi="Calibri" w:cs="Calibri"/>
          <w:color w:val="000000" w:themeColor="text1"/>
        </w:rPr>
        <w:t xml:space="preserve">compared to controls (1). One such bacterium of interest is </w:t>
      </w:r>
      <w:proofErr w:type="spellStart"/>
      <w:r w:rsidRPr="00E03B48">
        <w:rPr>
          <w:rFonts w:ascii="Calibri" w:hAnsi="Calibri" w:cs="Calibri"/>
          <w:i/>
          <w:color w:val="000000" w:themeColor="text1"/>
        </w:rPr>
        <w:t>Intestinibacter</w:t>
      </w:r>
      <w:proofErr w:type="spellEnd"/>
      <w:r w:rsidRPr="00E03B48">
        <w:rPr>
          <w:rFonts w:ascii="Calibri" w:hAnsi="Calibri" w:cs="Calibri"/>
          <w:i/>
          <w:color w:val="000000" w:themeColor="text1"/>
        </w:rPr>
        <w:t xml:space="preserve"> </w:t>
      </w:r>
      <w:proofErr w:type="spellStart"/>
      <w:r w:rsidRPr="00E03B48">
        <w:rPr>
          <w:rFonts w:ascii="Calibri" w:hAnsi="Calibri" w:cs="Calibri"/>
          <w:i/>
          <w:color w:val="000000" w:themeColor="text1"/>
        </w:rPr>
        <w:t>bartlettii</w:t>
      </w:r>
      <w:proofErr w:type="spellEnd"/>
      <w:r w:rsidRPr="00E03B48">
        <w:rPr>
          <w:rFonts w:ascii="Calibri" w:hAnsi="Calibri" w:cs="Calibri"/>
          <w:color w:val="000000" w:themeColor="text1"/>
        </w:rPr>
        <w:t xml:space="preserve"> DSM 16795, a Gram-positive, spore-forming, rod-shaped organism initially known as </w:t>
      </w:r>
      <w:r w:rsidRPr="00E03B48">
        <w:rPr>
          <w:rFonts w:ascii="Calibri" w:hAnsi="Calibri" w:cs="Calibri"/>
          <w:i/>
          <w:color w:val="000000" w:themeColor="text1"/>
        </w:rPr>
        <w:t xml:space="preserve">Clostridium </w:t>
      </w:r>
      <w:proofErr w:type="spellStart"/>
      <w:r w:rsidRPr="00E03B48">
        <w:rPr>
          <w:rFonts w:ascii="Calibri" w:hAnsi="Calibri" w:cs="Calibri"/>
          <w:i/>
          <w:color w:val="000000" w:themeColor="text1"/>
        </w:rPr>
        <w:t>bartlettii</w:t>
      </w:r>
      <w:proofErr w:type="spellEnd"/>
      <w:r w:rsidRPr="00E03B48">
        <w:rPr>
          <w:rFonts w:ascii="Calibri" w:hAnsi="Calibri" w:cs="Calibri"/>
          <w:color w:val="000000" w:themeColor="text1"/>
        </w:rPr>
        <w:t>. It was first isolated in 2000 from human stool and gastric/duodenal samples at Rush Children’s Hospital, Chicago (1, 2). The strain (WAL 16138, DSM 16795) was cultured anaerobically, transported on dry ice, and grown on Brucella and CDC blood agar at 37°C for 120 hours (1). It is stored at DSMZ and ATCC under accession number BAA-827 (1). The taxonomic identification was verified through 16S rRNA gene sequencing with accession number AY438672 (3). This strain is part of the JGI initiative to study gut microbiota in children with late-onset autism and its potential involvement in the condition (1, 4).</w:t>
      </w:r>
    </w:p>
    <w:p w14:paraId="26DB69B5" w14:textId="13ED4D53" w:rsidR="00506E2C" w:rsidRPr="00E03B48" w:rsidRDefault="008E7B9B" w:rsidP="1355E164">
      <w:pPr>
        <w:shd w:val="clear" w:color="auto" w:fill="FFFFFF" w:themeFill="background1"/>
        <w:spacing w:after="0" w:line="240" w:lineRule="auto"/>
        <w:rPr>
          <w:rFonts w:cs="Calibri"/>
          <w:color w:val="000000" w:themeColor="text1"/>
          <w:sz w:val="24"/>
          <w:szCs w:val="24"/>
        </w:rPr>
      </w:pPr>
      <w:r w:rsidRPr="00E03B48">
        <w:rPr>
          <w:rFonts w:cs="Calibri"/>
          <w:b/>
          <w:bCs/>
          <w:color w:val="000000" w:themeColor="text1"/>
          <w:sz w:val="24"/>
          <w:szCs w:val="24"/>
        </w:rPr>
        <w:t>Details on organism growth and DNA isolation to be provided by DSMZ</w:t>
      </w:r>
      <w:r w:rsidR="4F5FAB67" w:rsidRPr="00E03B48">
        <w:rPr>
          <w:rFonts w:cs="Calibri"/>
          <w:i/>
          <w:iCs/>
          <w:color w:val="000000" w:themeColor="text1"/>
          <w:sz w:val="24"/>
          <w:szCs w:val="24"/>
        </w:rPr>
        <w:t xml:space="preserve">. </w:t>
      </w:r>
      <w:r w:rsidR="001273D2" w:rsidRPr="00E03B48">
        <w:rPr>
          <w:rFonts w:cs="Calibri"/>
          <w:color w:val="000000" w:themeColor="text1"/>
          <w:sz w:val="24"/>
          <w:szCs w:val="24"/>
        </w:rPr>
        <w:t>Genomic DNA from</w:t>
      </w:r>
      <w:r w:rsidR="001273D2" w:rsidRPr="00E03B48">
        <w:rPr>
          <w:rFonts w:cs="Calibri"/>
          <w:i/>
          <w:iCs/>
          <w:color w:val="000000" w:themeColor="text1"/>
          <w:sz w:val="24"/>
          <w:szCs w:val="24"/>
        </w:rPr>
        <w:t xml:space="preserve"> I. </w:t>
      </w:r>
      <w:proofErr w:type="spellStart"/>
      <w:r w:rsidR="4F5FAB67" w:rsidRPr="00E03B48">
        <w:rPr>
          <w:rFonts w:cs="Calibri"/>
          <w:i/>
          <w:iCs/>
          <w:color w:val="000000" w:themeColor="text1"/>
          <w:sz w:val="24"/>
          <w:szCs w:val="24"/>
        </w:rPr>
        <w:t>bartletti</w:t>
      </w:r>
      <w:proofErr w:type="spellEnd"/>
      <w:r w:rsidR="00506E2C" w:rsidRPr="00E03B48">
        <w:rPr>
          <w:rFonts w:cs="Calibri"/>
          <w:i/>
          <w:color w:val="000000" w:themeColor="text1"/>
          <w:sz w:val="24"/>
          <w:szCs w:val="24"/>
        </w:rPr>
        <w:t xml:space="preserve"> </w:t>
      </w:r>
      <w:r w:rsidR="00506E2C" w:rsidRPr="00E03B48">
        <w:rPr>
          <w:rFonts w:cs="Calibri"/>
          <w:color w:val="000000" w:themeColor="text1"/>
          <w:sz w:val="24"/>
          <w:szCs w:val="24"/>
        </w:rPr>
        <w:t xml:space="preserve">DSM 16795 </w:t>
      </w:r>
      <w:r w:rsidR="4F5FAB67" w:rsidRPr="00E03B48">
        <w:rPr>
          <w:rFonts w:cs="Calibri"/>
          <w:color w:val="000000" w:themeColor="text1"/>
          <w:sz w:val="24"/>
          <w:szCs w:val="24"/>
        </w:rPr>
        <w:t xml:space="preserve">DNA </w:t>
      </w:r>
      <w:r w:rsidR="00506E2C" w:rsidRPr="00E03B48">
        <w:rPr>
          <w:rFonts w:cs="Calibri"/>
          <w:color w:val="000000" w:themeColor="text1"/>
          <w:sz w:val="24"/>
          <w:szCs w:val="24"/>
        </w:rPr>
        <w:t xml:space="preserve">was sequenced </w:t>
      </w:r>
      <w:r w:rsidR="4F5FAB67" w:rsidRPr="00E03B48">
        <w:rPr>
          <w:rFonts w:cs="Calibri"/>
          <w:color w:val="000000" w:themeColor="text1"/>
          <w:sz w:val="24"/>
          <w:szCs w:val="24"/>
        </w:rPr>
        <w:t>by</w:t>
      </w:r>
      <w:r w:rsidR="00506E2C" w:rsidRPr="00E03B48">
        <w:rPr>
          <w:rFonts w:cs="Calibri"/>
          <w:color w:val="000000" w:themeColor="text1"/>
          <w:sz w:val="24"/>
          <w:szCs w:val="24"/>
        </w:rPr>
        <w:t xml:space="preserve"> the DOE </w:t>
      </w:r>
      <w:r w:rsidR="4F5FAB67" w:rsidRPr="00E03B48">
        <w:rPr>
          <w:rFonts w:cs="Calibri"/>
          <w:color w:val="000000" w:themeColor="text1"/>
          <w:sz w:val="24"/>
          <w:szCs w:val="24"/>
        </w:rPr>
        <w:t>Joint</w:t>
      </w:r>
      <w:r w:rsidR="00506E2C" w:rsidRPr="00E03B48">
        <w:rPr>
          <w:rFonts w:cs="Calibri"/>
          <w:color w:val="000000" w:themeColor="text1"/>
          <w:sz w:val="24"/>
          <w:szCs w:val="24"/>
        </w:rPr>
        <w:t xml:space="preserve"> Genome Institute using Illumina HiSeq2000</w:t>
      </w:r>
      <w:r w:rsidR="4F5FAB67" w:rsidRPr="00E03B48">
        <w:rPr>
          <w:rFonts w:cs="Calibri"/>
          <w:color w:val="000000" w:themeColor="text1"/>
          <w:sz w:val="24"/>
          <w:szCs w:val="24"/>
        </w:rPr>
        <w:t>.</w:t>
      </w:r>
      <w:r w:rsidR="00506E2C" w:rsidRPr="00E03B48">
        <w:rPr>
          <w:rFonts w:cs="Calibri"/>
          <w:color w:val="000000" w:themeColor="text1"/>
          <w:sz w:val="24"/>
          <w:szCs w:val="24"/>
        </w:rPr>
        <w:t xml:space="preserve"> A shotgun library </w:t>
      </w:r>
      <w:r w:rsidR="4F5FAB67" w:rsidRPr="00E03B48">
        <w:rPr>
          <w:rFonts w:cs="Calibri"/>
          <w:color w:val="000000" w:themeColor="text1"/>
          <w:sz w:val="24"/>
          <w:szCs w:val="24"/>
        </w:rPr>
        <w:t>generated</w:t>
      </w:r>
      <w:r w:rsidR="00506E2C" w:rsidRPr="00E03B48">
        <w:rPr>
          <w:rFonts w:cs="Calibri"/>
          <w:color w:val="000000" w:themeColor="text1"/>
          <w:sz w:val="24"/>
          <w:szCs w:val="24"/>
        </w:rPr>
        <w:t xml:space="preserve"> 11,188,166 total reads (~1,678.2 Mb). Raw reads were quality-filtered using DUK software </w:t>
      </w:r>
      <w:r w:rsidR="4F5FAB67" w:rsidRPr="00E03B48">
        <w:rPr>
          <w:rFonts w:cs="Calibri"/>
          <w:color w:val="000000" w:themeColor="text1"/>
          <w:sz w:val="24"/>
          <w:szCs w:val="24"/>
        </w:rPr>
        <w:t>(5).</w:t>
      </w:r>
      <w:r w:rsidR="00506E2C" w:rsidRPr="00E03B48">
        <w:rPr>
          <w:rFonts w:cs="Calibri"/>
          <w:color w:val="000000" w:themeColor="text1"/>
          <w:sz w:val="24"/>
          <w:szCs w:val="24"/>
        </w:rPr>
        <w:t xml:space="preserve"> Filtered reads were then assembled using Velvet </w:t>
      </w:r>
      <w:r w:rsidR="26B891F3" w:rsidRPr="00E03B48">
        <w:rPr>
          <w:rFonts w:cs="Calibri"/>
          <w:color w:val="000000" w:themeColor="text1"/>
          <w:sz w:val="24"/>
          <w:szCs w:val="24"/>
        </w:rPr>
        <w:t>v</w:t>
      </w:r>
      <w:r w:rsidR="00506E2C" w:rsidRPr="00E03B48">
        <w:rPr>
          <w:rFonts w:cs="Calibri"/>
          <w:color w:val="000000" w:themeColor="text1"/>
          <w:sz w:val="24"/>
          <w:szCs w:val="24"/>
        </w:rPr>
        <w:t xml:space="preserve"> 1.2.07 with modified parameters to generate initial contigs</w:t>
      </w:r>
      <w:r w:rsidR="4F5FAB67" w:rsidRPr="00E03B48">
        <w:rPr>
          <w:rFonts w:cs="Calibri"/>
          <w:color w:val="000000" w:themeColor="text1"/>
          <w:sz w:val="24"/>
          <w:szCs w:val="24"/>
        </w:rPr>
        <w:t xml:space="preserve">. </w:t>
      </w:r>
      <w:proofErr w:type="spellStart"/>
      <w:r w:rsidR="4F5FAB67" w:rsidRPr="00E03B48">
        <w:rPr>
          <w:rFonts w:cs="Calibri"/>
          <w:color w:val="000000" w:themeColor="text1"/>
          <w:sz w:val="24"/>
          <w:szCs w:val="24"/>
        </w:rPr>
        <w:t>Wgsim</w:t>
      </w:r>
      <w:proofErr w:type="spellEnd"/>
      <w:r w:rsidR="4F5FAB67" w:rsidRPr="00E03B48">
        <w:rPr>
          <w:rFonts w:cs="Calibri"/>
          <w:color w:val="000000" w:themeColor="text1"/>
          <w:sz w:val="24"/>
          <w:szCs w:val="24"/>
        </w:rPr>
        <w:t xml:space="preserve"> generated</w:t>
      </w:r>
      <w:r w:rsidR="00506E2C" w:rsidRPr="00E03B48">
        <w:rPr>
          <w:rFonts w:cs="Calibri"/>
          <w:color w:val="000000" w:themeColor="text1"/>
          <w:sz w:val="24"/>
          <w:szCs w:val="24"/>
        </w:rPr>
        <w:t xml:space="preserve"> 1-3 kb </w:t>
      </w:r>
      <w:proofErr w:type="gramStart"/>
      <w:r w:rsidR="00506E2C" w:rsidRPr="00E03B48">
        <w:rPr>
          <w:rFonts w:cs="Calibri"/>
          <w:color w:val="000000" w:themeColor="text1"/>
          <w:sz w:val="24"/>
          <w:szCs w:val="24"/>
        </w:rPr>
        <w:t>paired</w:t>
      </w:r>
      <w:r w:rsidR="00D7733B" w:rsidRPr="00E03B48">
        <w:rPr>
          <w:rFonts w:cs="Calibri"/>
          <w:color w:val="000000" w:themeColor="text1"/>
          <w:sz w:val="24"/>
          <w:szCs w:val="24"/>
        </w:rPr>
        <w:t>-</w:t>
      </w:r>
      <w:r w:rsidR="00506E2C" w:rsidRPr="00E03B48">
        <w:rPr>
          <w:rFonts w:cs="Calibri"/>
          <w:color w:val="000000" w:themeColor="text1"/>
          <w:sz w:val="24"/>
          <w:szCs w:val="24"/>
        </w:rPr>
        <w:t>end</w:t>
      </w:r>
      <w:proofErr w:type="gramEnd"/>
      <w:r w:rsidR="00506E2C" w:rsidRPr="00E03B48">
        <w:rPr>
          <w:rFonts w:cs="Calibri"/>
          <w:color w:val="000000" w:themeColor="text1"/>
          <w:sz w:val="24"/>
          <w:szCs w:val="24"/>
        </w:rPr>
        <w:t xml:space="preserve"> reads for improved assembly (6,</w:t>
      </w:r>
      <w:r w:rsidR="00D7733B" w:rsidRPr="00E03B48">
        <w:rPr>
          <w:rFonts w:cs="Calibri"/>
          <w:color w:val="000000" w:themeColor="text1"/>
          <w:sz w:val="24"/>
          <w:szCs w:val="24"/>
        </w:rPr>
        <w:t xml:space="preserve"> </w:t>
      </w:r>
      <w:r w:rsidR="00506E2C" w:rsidRPr="00E03B48">
        <w:rPr>
          <w:rFonts w:cs="Calibri"/>
          <w:color w:val="000000" w:themeColor="text1"/>
          <w:sz w:val="24"/>
          <w:szCs w:val="24"/>
        </w:rPr>
        <w:t xml:space="preserve">7). The final genome was </w:t>
      </w:r>
      <w:r w:rsidR="4F5FAB67" w:rsidRPr="00E03B48">
        <w:rPr>
          <w:rFonts w:cs="Calibri"/>
          <w:color w:val="000000" w:themeColor="text1"/>
          <w:sz w:val="24"/>
          <w:szCs w:val="24"/>
        </w:rPr>
        <w:t>assembled with</w:t>
      </w:r>
      <w:r w:rsidR="00506E2C" w:rsidRPr="00E03B48">
        <w:rPr>
          <w:rFonts w:cs="Calibri"/>
          <w:color w:val="000000" w:themeColor="text1"/>
          <w:sz w:val="24"/>
          <w:szCs w:val="24"/>
        </w:rPr>
        <w:t xml:space="preserve"> </w:t>
      </w:r>
      <w:proofErr w:type="spellStart"/>
      <w:r w:rsidR="00506E2C" w:rsidRPr="00E03B48">
        <w:rPr>
          <w:rFonts w:cs="Calibri"/>
          <w:color w:val="000000" w:themeColor="text1"/>
          <w:sz w:val="24"/>
          <w:szCs w:val="24"/>
        </w:rPr>
        <w:t>Allpaths</w:t>
      </w:r>
      <w:proofErr w:type="spellEnd"/>
      <w:r w:rsidR="00506E2C" w:rsidRPr="00E03B48">
        <w:rPr>
          <w:rFonts w:cs="Calibri"/>
          <w:color w:val="000000" w:themeColor="text1"/>
          <w:sz w:val="24"/>
          <w:szCs w:val="24"/>
        </w:rPr>
        <w:t>-LG v</w:t>
      </w:r>
      <w:r w:rsidR="00422B71" w:rsidRPr="00E03B48">
        <w:rPr>
          <w:rFonts w:cs="Calibri"/>
          <w:color w:val="000000" w:themeColor="text1"/>
          <w:sz w:val="24"/>
          <w:szCs w:val="24"/>
        </w:rPr>
        <w:t xml:space="preserve"> </w:t>
      </w:r>
      <w:r w:rsidR="00506E2C" w:rsidRPr="00E03B48">
        <w:rPr>
          <w:rFonts w:cs="Calibri"/>
          <w:color w:val="000000" w:themeColor="text1"/>
          <w:sz w:val="24"/>
          <w:szCs w:val="24"/>
        </w:rPr>
        <w:t>r46652 (8). The assembled genome contained 22 contigs across 19 scaffolds</w:t>
      </w:r>
      <w:r w:rsidR="4F5FAB67" w:rsidRPr="00E03B48">
        <w:rPr>
          <w:rFonts w:cs="Calibri"/>
          <w:color w:val="000000" w:themeColor="text1"/>
          <w:sz w:val="24"/>
          <w:szCs w:val="24"/>
        </w:rPr>
        <w:t xml:space="preserve"> and totaled</w:t>
      </w:r>
      <w:r w:rsidR="00506E2C" w:rsidRPr="00E03B48">
        <w:rPr>
          <w:rFonts w:cs="Calibri"/>
          <w:color w:val="000000" w:themeColor="text1"/>
          <w:sz w:val="24"/>
          <w:szCs w:val="24"/>
        </w:rPr>
        <w:t xml:space="preserve"> 2.9 Mb. The final assembly utilized 1,500 Mb of Illumina data</w:t>
      </w:r>
      <w:r w:rsidR="4F5FAB67" w:rsidRPr="00E03B48">
        <w:rPr>
          <w:rFonts w:cs="Calibri"/>
          <w:color w:val="000000" w:themeColor="text1"/>
          <w:sz w:val="24"/>
          <w:szCs w:val="24"/>
        </w:rPr>
        <w:t xml:space="preserve"> and incorporated</w:t>
      </w:r>
      <w:r w:rsidR="00506E2C" w:rsidRPr="00E03B48">
        <w:rPr>
          <w:rFonts w:cs="Calibri"/>
          <w:color w:val="000000" w:themeColor="text1"/>
          <w:sz w:val="24"/>
          <w:szCs w:val="24"/>
        </w:rPr>
        <w:t xml:space="preserve"> 300 bp input read coverage to enhance accuracy. </w:t>
      </w:r>
      <w:r w:rsidR="4F5FAB67" w:rsidRPr="00E03B48">
        <w:rPr>
          <w:rFonts w:cs="Calibri"/>
          <w:color w:val="000000" w:themeColor="text1"/>
          <w:sz w:val="24"/>
          <w:szCs w:val="24"/>
        </w:rPr>
        <w:t>The JGI Microbial Genome Annotation Pipeline was used to annotate the genome (9). Prodigal generated gene</w:t>
      </w:r>
      <w:r w:rsidR="00506E2C" w:rsidRPr="00E03B48">
        <w:rPr>
          <w:rFonts w:cs="Calibri"/>
          <w:color w:val="000000" w:themeColor="text1"/>
          <w:sz w:val="24"/>
          <w:szCs w:val="24"/>
        </w:rPr>
        <w:t xml:space="preserve"> prediction</w:t>
      </w:r>
      <w:r w:rsidR="00FC0905" w:rsidRPr="00E03B48">
        <w:rPr>
          <w:rFonts w:cs="Calibri"/>
          <w:color w:val="000000" w:themeColor="text1"/>
          <w:sz w:val="24"/>
          <w:szCs w:val="24"/>
        </w:rPr>
        <w:t>,</w:t>
      </w:r>
      <w:r w:rsidR="00506E2C" w:rsidRPr="00E03B48">
        <w:rPr>
          <w:rFonts w:cs="Calibri"/>
          <w:color w:val="000000" w:themeColor="text1"/>
          <w:sz w:val="24"/>
          <w:szCs w:val="24"/>
        </w:rPr>
        <w:t xml:space="preserve"> </w:t>
      </w:r>
      <w:r w:rsidR="00FC0905" w:rsidRPr="00E03B48">
        <w:rPr>
          <w:rFonts w:cs="Calibri"/>
          <w:color w:val="000000" w:themeColor="text1"/>
          <w:sz w:val="24"/>
          <w:szCs w:val="24"/>
        </w:rPr>
        <w:t xml:space="preserve">which </w:t>
      </w:r>
      <w:r w:rsidR="006E7524" w:rsidRPr="00E03B48">
        <w:rPr>
          <w:rFonts w:cs="Calibri"/>
          <w:color w:val="000000" w:themeColor="text1"/>
          <w:sz w:val="24"/>
          <w:szCs w:val="24"/>
        </w:rPr>
        <w:t>were</w:t>
      </w:r>
      <w:r w:rsidR="00506E2C" w:rsidRPr="00E03B48">
        <w:rPr>
          <w:rFonts w:cs="Calibri"/>
          <w:color w:val="000000" w:themeColor="text1"/>
          <w:sz w:val="24"/>
          <w:szCs w:val="24"/>
        </w:rPr>
        <w:t xml:space="preserve"> manual</w:t>
      </w:r>
      <w:r w:rsidR="006E7524" w:rsidRPr="00E03B48">
        <w:rPr>
          <w:rFonts w:cs="Calibri"/>
          <w:color w:val="000000" w:themeColor="text1"/>
          <w:sz w:val="24"/>
          <w:szCs w:val="24"/>
        </w:rPr>
        <w:t>ly</w:t>
      </w:r>
      <w:r w:rsidR="00506E2C" w:rsidRPr="00E03B48">
        <w:rPr>
          <w:rFonts w:cs="Calibri"/>
          <w:color w:val="000000" w:themeColor="text1"/>
          <w:sz w:val="24"/>
          <w:szCs w:val="24"/>
        </w:rPr>
        <w:t xml:space="preserve"> curat</w:t>
      </w:r>
      <w:r w:rsidR="006E7524" w:rsidRPr="00E03B48">
        <w:rPr>
          <w:rFonts w:cs="Calibri"/>
          <w:color w:val="000000" w:themeColor="text1"/>
          <w:sz w:val="24"/>
          <w:szCs w:val="24"/>
        </w:rPr>
        <w:t>ed</w:t>
      </w:r>
      <w:r w:rsidR="00506E2C" w:rsidRPr="00E03B48">
        <w:rPr>
          <w:rFonts w:cs="Calibri"/>
          <w:color w:val="000000" w:themeColor="text1"/>
          <w:sz w:val="24"/>
          <w:szCs w:val="24"/>
        </w:rPr>
        <w:t xml:space="preserve"> </w:t>
      </w:r>
      <w:r w:rsidR="006E7524" w:rsidRPr="00E03B48">
        <w:rPr>
          <w:rFonts w:cs="Calibri"/>
          <w:color w:val="000000" w:themeColor="text1"/>
          <w:sz w:val="24"/>
          <w:szCs w:val="24"/>
        </w:rPr>
        <w:t>using</w:t>
      </w:r>
      <w:r w:rsidR="00506E2C" w:rsidRPr="00E03B48">
        <w:rPr>
          <w:rFonts w:cs="Calibri"/>
          <w:color w:val="000000" w:themeColor="text1"/>
          <w:sz w:val="24"/>
          <w:szCs w:val="24"/>
        </w:rPr>
        <w:t xml:space="preserve"> </w:t>
      </w:r>
      <w:proofErr w:type="spellStart"/>
      <w:r w:rsidR="00506E2C" w:rsidRPr="00E03B48">
        <w:rPr>
          <w:rFonts w:cs="Calibri"/>
          <w:color w:val="000000" w:themeColor="text1"/>
          <w:sz w:val="24"/>
          <w:szCs w:val="24"/>
        </w:rPr>
        <w:t>GenePRIMP</w:t>
      </w:r>
      <w:proofErr w:type="spellEnd"/>
      <w:r w:rsidR="00506E2C" w:rsidRPr="00E03B48">
        <w:rPr>
          <w:rFonts w:cs="Calibri"/>
          <w:color w:val="000000" w:themeColor="text1"/>
          <w:sz w:val="24"/>
          <w:szCs w:val="24"/>
        </w:rPr>
        <w:t xml:space="preserve">. </w:t>
      </w:r>
      <w:r w:rsidR="4F5FAB67" w:rsidRPr="00E03B48">
        <w:rPr>
          <w:rFonts w:cs="Calibri"/>
          <w:color w:val="000000" w:themeColor="text1"/>
          <w:sz w:val="24"/>
          <w:szCs w:val="24"/>
        </w:rPr>
        <w:t>For functional</w:t>
      </w:r>
      <w:r w:rsidR="00506E2C" w:rsidRPr="00E03B48">
        <w:rPr>
          <w:rFonts w:cs="Calibri"/>
          <w:color w:val="000000" w:themeColor="text1"/>
          <w:sz w:val="24"/>
          <w:szCs w:val="24"/>
        </w:rPr>
        <w:t xml:space="preserve"> annotation</w:t>
      </w:r>
      <w:r w:rsidR="4F5FAB67" w:rsidRPr="00E03B48">
        <w:rPr>
          <w:rFonts w:cs="Calibri"/>
          <w:color w:val="000000" w:themeColor="text1"/>
          <w:sz w:val="24"/>
          <w:szCs w:val="24"/>
        </w:rPr>
        <w:t>,</w:t>
      </w:r>
      <w:r w:rsidR="00506E2C" w:rsidRPr="00E03B48">
        <w:rPr>
          <w:rFonts w:cs="Calibri"/>
          <w:color w:val="000000" w:themeColor="text1"/>
          <w:sz w:val="24"/>
          <w:szCs w:val="24"/>
        </w:rPr>
        <w:t xml:space="preserve"> NCBI, </w:t>
      </w:r>
      <w:proofErr w:type="spellStart"/>
      <w:r w:rsidR="00506E2C" w:rsidRPr="00E03B48">
        <w:rPr>
          <w:rFonts w:cs="Calibri"/>
          <w:color w:val="000000" w:themeColor="text1"/>
          <w:sz w:val="24"/>
          <w:szCs w:val="24"/>
        </w:rPr>
        <w:t>Uni</w:t>
      </w:r>
      <w:r w:rsidR="00110ABE" w:rsidRPr="00E03B48">
        <w:rPr>
          <w:rFonts w:cs="Calibri"/>
          <w:color w:val="000000" w:themeColor="text1"/>
          <w:sz w:val="24"/>
          <w:szCs w:val="24"/>
        </w:rPr>
        <w:t>P</w:t>
      </w:r>
      <w:r w:rsidR="00506E2C" w:rsidRPr="00E03B48">
        <w:rPr>
          <w:rFonts w:cs="Calibri"/>
          <w:color w:val="000000" w:themeColor="text1"/>
          <w:sz w:val="24"/>
          <w:szCs w:val="24"/>
        </w:rPr>
        <w:t>rot</w:t>
      </w:r>
      <w:proofErr w:type="spellEnd"/>
      <w:r w:rsidR="00506E2C" w:rsidRPr="00E03B48">
        <w:rPr>
          <w:rFonts w:cs="Calibri"/>
          <w:color w:val="000000" w:themeColor="text1"/>
          <w:sz w:val="24"/>
          <w:szCs w:val="24"/>
        </w:rPr>
        <w:t xml:space="preserve">, TIGFAM, </w:t>
      </w:r>
      <w:proofErr w:type="spellStart"/>
      <w:r w:rsidR="00506E2C" w:rsidRPr="00E03B48">
        <w:rPr>
          <w:rFonts w:cs="Calibri"/>
          <w:color w:val="000000" w:themeColor="text1"/>
          <w:sz w:val="24"/>
          <w:szCs w:val="24"/>
        </w:rPr>
        <w:t>pfam</w:t>
      </w:r>
      <w:proofErr w:type="spellEnd"/>
      <w:r w:rsidR="00506E2C" w:rsidRPr="00E03B48">
        <w:rPr>
          <w:rFonts w:cs="Calibri"/>
          <w:color w:val="000000" w:themeColor="text1"/>
          <w:sz w:val="24"/>
          <w:szCs w:val="24"/>
        </w:rPr>
        <w:t>, KEGG, COG</w:t>
      </w:r>
      <w:r w:rsidR="003C526D" w:rsidRPr="00E03B48">
        <w:rPr>
          <w:rFonts w:cs="Calibri"/>
          <w:color w:val="000000" w:themeColor="text1"/>
          <w:sz w:val="24"/>
          <w:szCs w:val="24"/>
        </w:rPr>
        <w:t>,</w:t>
      </w:r>
      <w:r w:rsidR="00506E2C" w:rsidRPr="00E03B48">
        <w:rPr>
          <w:rFonts w:cs="Calibri"/>
          <w:color w:val="000000" w:themeColor="text1"/>
          <w:sz w:val="24"/>
          <w:szCs w:val="24"/>
        </w:rPr>
        <w:t xml:space="preserve"> and </w:t>
      </w:r>
      <w:proofErr w:type="spellStart"/>
      <w:r w:rsidR="003C526D" w:rsidRPr="00E03B48">
        <w:rPr>
          <w:rFonts w:cs="Calibri"/>
          <w:color w:val="000000" w:themeColor="text1"/>
          <w:sz w:val="24"/>
          <w:szCs w:val="24"/>
        </w:rPr>
        <w:t>I</w:t>
      </w:r>
      <w:r w:rsidR="00506E2C" w:rsidRPr="00E03B48">
        <w:rPr>
          <w:rFonts w:cs="Calibri"/>
          <w:color w:val="000000" w:themeColor="text1"/>
          <w:sz w:val="24"/>
          <w:szCs w:val="24"/>
        </w:rPr>
        <w:t>nter</w:t>
      </w:r>
      <w:r w:rsidR="003C526D" w:rsidRPr="00E03B48">
        <w:rPr>
          <w:rFonts w:cs="Calibri"/>
          <w:color w:val="000000" w:themeColor="text1"/>
          <w:sz w:val="24"/>
          <w:szCs w:val="24"/>
        </w:rPr>
        <w:t>P</w:t>
      </w:r>
      <w:r w:rsidR="00506E2C" w:rsidRPr="00E03B48">
        <w:rPr>
          <w:rFonts w:cs="Calibri"/>
          <w:color w:val="000000" w:themeColor="text1"/>
          <w:sz w:val="24"/>
          <w:szCs w:val="24"/>
        </w:rPr>
        <w:t>ro</w:t>
      </w:r>
      <w:proofErr w:type="spellEnd"/>
      <w:r w:rsidR="4F5FAB67" w:rsidRPr="00E03B48">
        <w:rPr>
          <w:rFonts w:cs="Calibri"/>
          <w:color w:val="000000" w:themeColor="text1"/>
          <w:sz w:val="24"/>
          <w:szCs w:val="24"/>
        </w:rPr>
        <w:t xml:space="preserve"> were utilized. The rRNA and tRNA genes present were identified with</w:t>
      </w:r>
      <w:r w:rsidR="00506E2C" w:rsidRPr="00E03B48">
        <w:rPr>
          <w:rFonts w:cs="Calibri"/>
          <w:color w:val="000000" w:themeColor="text1"/>
          <w:sz w:val="24"/>
          <w:szCs w:val="24"/>
        </w:rPr>
        <w:t xml:space="preserve"> </w:t>
      </w:r>
      <w:proofErr w:type="spellStart"/>
      <w:r w:rsidR="00506E2C" w:rsidRPr="00E03B48">
        <w:rPr>
          <w:rFonts w:cs="Calibri"/>
          <w:color w:val="000000" w:themeColor="text1"/>
          <w:sz w:val="24"/>
          <w:szCs w:val="24"/>
        </w:rPr>
        <w:t>tRNAscan</w:t>
      </w:r>
      <w:proofErr w:type="spellEnd"/>
      <w:r w:rsidR="00506E2C" w:rsidRPr="00E03B48">
        <w:rPr>
          <w:rFonts w:cs="Calibri"/>
          <w:color w:val="000000" w:themeColor="text1"/>
          <w:sz w:val="24"/>
          <w:szCs w:val="24"/>
        </w:rPr>
        <w:t>-SE and SILVA</w:t>
      </w:r>
      <w:r w:rsidR="4F5FAB67" w:rsidRPr="00E03B48">
        <w:rPr>
          <w:rFonts w:cs="Calibri"/>
          <w:color w:val="000000" w:themeColor="text1"/>
          <w:sz w:val="24"/>
          <w:szCs w:val="24"/>
        </w:rPr>
        <w:t xml:space="preserve">. Non-coding RNA was identified with INFERNAL. </w:t>
      </w:r>
      <w:r w:rsidR="00506E2C" w:rsidRPr="00E03B48">
        <w:rPr>
          <w:rFonts w:cs="Calibri"/>
          <w:color w:val="000000" w:themeColor="text1"/>
          <w:sz w:val="24"/>
          <w:szCs w:val="24"/>
        </w:rPr>
        <w:t>CheckM2</w:t>
      </w:r>
      <w:r w:rsidR="4F5FAB67" w:rsidRPr="00E03B48">
        <w:rPr>
          <w:rFonts w:cs="Calibri"/>
          <w:color w:val="000000" w:themeColor="text1"/>
          <w:sz w:val="24"/>
          <w:szCs w:val="24"/>
        </w:rPr>
        <w:t xml:space="preserve"> confirmed</w:t>
      </w:r>
      <w:r w:rsidR="00506E2C" w:rsidRPr="00E03B48">
        <w:rPr>
          <w:rFonts w:cs="Calibri"/>
          <w:color w:val="000000" w:themeColor="text1"/>
          <w:sz w:val="24"/>
          <w:szCs w:val="24"/>
        </w:rPr>
        <w:t xml:space="preserve"> 100% completeness and 0% contamination (10).  Potential contaminants were detected but not removed</w:t>
      </w:r>
      <w:r w:rsidR="4F5FAB67" w:rsidRPr="00E03B48">
        <w:rPr>
          <w:rFonts w:cs="Calibri"/>
          <w:color w:val="000000" w:themeColor="text1"/>
          <w:sz w:val="24"/>
          <w:szCs w:val="24"/>
        </w:rPr>
        <w:t>. This resulted in</w:t>
      </w:r>
      <w:r w:rsidR="00506E2C" w:rsidRPr="00E03B48">
        <w:rPr>
          <w:rFonts w:cs="Calibri"/>
          <w:color w:val="000000" w:themeColor="text1"/>
          <w:sz w:val="24"/>
          <w:szCs w:val="24"/>
        </w:rPr>
        <w:t xml:space="preserve"> 89.4% of the initial </w:t>
      </w:r>
      <w:r w:rsidR="4F5FAB67" w:rsidRPr="00E03B48">
        <w:rPr>
          <w:rFonts w:cs="Calibri"/>
          <w:color w:val="000000" w:themeColor="text1"/>
          <w:sz w:val="24"/>
          <w:szCs w:val="24"/>
        </w:rPr>
        <w:t>dataset being retained</w:t>
      </w:r>
      <w:r w:rsidR="00506E2C" w:rsidRPr="00E03B48">
        <w:rPr>
          <w:rFonts w:cs="Calibri"/>
          <w:color w:val="000000" w:themeColor="text1"/>
          <w:sz w:val="24"/>
          <w:szCs w:val="24"/>
        </w:rPr>
        <w:t xml:space="preserve"> (10).  </w:t>
      </w:r>
    </w:p>
    <w:p w14:paraId="174E14F4" w14:textId="77777777" w:rsidR="00A0061F" w:rsidRPr="00E03B48" w:rsidRDefault="00A0061F" w:rsidP="1355E164">
      <w:pPr>
        <w:shd w:val="clear" w:color="auto" w:fill="FFFFFF" w:themeFill="background1"/>
        <w:spacing w:after="0" w:line="240" w:lineRule="auto"/>
        <w:rPr>
          <w:rFonts w:cs="Calibri"/>
          <w:color w:val="000000"/>
          <w:sz w:val="24"/>
          <w:szCs w:val="24"/>
        </w:rPr>
      </w:pPr>
    </w:p>
    <w:p w14:paraId="1ED95CC8" w14:textId="6CE6E93E" w:rsidR="00506E2C" w:rsidRPr="005D240C" w:rsidRDefault="00506E2C" w:rsidP="00506E2C">
      <w:pPr>
        <w:spacing w:line="240" w:lineRule="auto"/>
        <w:rPr>
          <w:rFonts w:cs="Calibri"/>
          <w:color w:val="000000" w:themeColor="text1"/>
          <w:sz w:val="24"/>
          <w:szCs w:val="24"/>
        </w:rPr>
      </w:pPr>
      <w:r w:rsidRPr="00E03B48">
        <w:rPr>
          <w:rFonts w:cs="Calibri"/>
          <w:color w:val="000000" w:themeColor="text1"/>
          <w:sz w:val="24"/>
          <w:szCs w:val="24"/>
        </w:rPr>
        <w:t xml:space="preserve">The draft genome of </w:t>
      </w:r>
      <w:proofErr w:type="spellStart"/>
      <w:r w:rsidRPr="00E03B48">
        <w:rPr>
          <w:rFonts w:cs="Calibri"/>
          <w:i/>
          <w:color w:val="000000" w:themeColor="text1"/>
          <w:sz w:val="24"/>
          <w:szCs w:val="24"/>
        </w:rPr>
        <w:t>Intestinibacter</w:t>
      </w:r>
      <w:proofErr w:type="spellEnd"/>
      <w:r w:rsidRPr="00E03B48">
        <w:rPr>
          <w:rFonts w:cs="Calibri"/>
          <w:i/>
          <w:color w:val="000000" w:themeColor="text1"/>
          <w:sz w:val="24"/>
          <w:szCs w:val="24"/>
        </w:rPr>
        <w:t xml:space="preserve"> </w:t>
      </w:r>
      <w:proofErr w:type="spellStart"/>
      <w:r w:rsidRPr="00E03B48">
        <w:rPr>
          <w:rFonts w:cs="Calibri"/>
          <w:i/>
          <w:color w:val="000000" w:themeColor="text1"/>
          <w:sz w:val="24"/>
          <w:szCs w:val="24"/>
        </w:rPr>
        <w:t>bartlett</w:t>
      </w:r>
      <w:r w:rsidR="00BA1370" w:rsidRPr="00E03B48">
        <w:rPr>
          <w:rFonts w:cs="Calibri"/>
          <w:i/>
          <w:color w:val="000000" w:themeColor="text1"/>
          <w:sz w:val="24"/>
          <w:szCs w:val="24"/>
        </w:rPr>
        <w:t>i</w:t>
      </w:r>
      <w:r w:rsidRPr="00E03B48">
        <w:rPr>
          <w:rFonts w:cs="Calibri"/>
          <w:i/>
          <w:color w:val="000000" w:themeColor="text1"/>
          <w:sz w:val="24"/>
          <w:szCs w:val="24"/>
        </w:rPr>
        <w:t>i</w:t>
      </w:r>
      <w:proofErr w:type="spellEnd"/>
      <w:r w:rsidRPr="00E03B48">
        <w:rPr>
          <w:rFonts w:cs="Calibri"/>
          <w:i/>
          <w:color w:val="000000" w:themeColor="text1"/>
          <w:sz w:val="24"/>
          <w:szCs w:val="24"/>
        </w:rPr>
        <w:t xml:space="preserve"> </w:t>
      </w:r>
      <w:r w:rsidRPr="00E03B48">
        <w:rPr>
          <w:rFonts w:cs="Calibri"/>
          <w:color w:val="000000" w:themeColor="text1"/>
          <w:sz w:val="24"/>
          <w:szCs w:val="24"/>
        </w:rPr>
        <w:t>DSM 16795 is 2,971,856 bp, 22 contigs, 28.84% GC, 2,878 genes (2,787 coding), 28 rRNAs, and 59 tRNAs (</w:t>
      </w:r>
      <w:hyperlink w:anchor="Table1" w:history="1">
        <w:r w:rsidRPr="00E03B48">
          <w:rPr>
            <w:rStyle w:val="Hyperlink"/>
            <w:rFonts w:cs="Calibri"/>
            <w:sz w:val="24"/>
            <w:szCs w:val="24"/>
          </w:rPr>
          <w:t>Table 1</w:t>
        </w:r>
      </w:hyperlink>
      <w:r w:rsidRPr="00E03B48">
        <w:rPr>
          <w:rFonts w:cs="Calibri"/>
          <w:color w:val="000000" w:themeColor="text1"/>
          <w:sz w:val="24"/>
          <w:szCs w:val="24"/>
        </w:rPr>
        <w:t xml:space="preserve">). </w:t>
      </w:r>
      <w:r w:rsidR="268EF7FE" w:rsidRPr="00E03B48">
        <w:rPr>
          <w:rFonts w:cs="Calibri"/>
          <w:color w:val="000000" w:themeColor="text1"/>
          <w:sz w:val="24"/>
          <w:szCs w:val="24"/>
        </w:rPr>
        <w:t>The p</w:t>
      </w:r>
      <w:r w:rsidRPr="00E03B48">
        <w:rPr>
          <w:rFonts w:cs="Calibri"/>
          <w:color w:val="000000" w:themeColor="text1"/>
          <w:sz w:val="24"/>
          <w:szCs w:val="24"/>
        </w:rPr>
        <w:t xml:space="preserve">hylogenetic tree is midpoint rooted, 79.1% average branch support, and shows close relation to </w:t>
      </w:r>
      <w:proofErr w:type="spellStart"/>
      <w:r w:rsidRPr="00E03B48">
        <w:rPr>
          <w:rFonts w:cs="Calibri"/>
          <w:i/>
          <w:color w:val="000000" w:themeColor="text1"/>
          <w:sz w:val="24"/>
          <w:szCs w:val="24"/>
        </w:rPr>
        <w:t>Terrisporobacter</w:t>
      </w:r>
      <w:proofErr w:type="spellEnd"/>
      <w:r w:rsidRPr="00E03B48">
        <w:rPr>
          <w:rFonts w:cs="Calibri"/>
          <w:i/>
          <w:color w:val="000000" w:themeColor="text1"/>
          <w:sz w:val="24"/>
          <w:szCs w:val="24"/>
        </w:rPr>
        <w:t xml:space="preserve"> (</w:t>
      </w:r>
      <w:hyperlink w:anchor="Figure1" w:history="1">
        <w:r w:rsidR="000409A1" w:rsidRPr="00E03B48">
          <w:rPr>
            <w:rStyle w:val="Hyperlink"/>
            <w:rFonts w:cs="Calibri"/>
            <w:i/>
            <w:sz w:val="24"/>
            <w:szCs w:val="24"/>
          </w:rPr>
          <w:t>Figure1</w:t>
        </w:r>
      </w:hyperlink>
      <w:r w:rsidRPr="00E03B48">
        <w:rPr>
          <w:rFonts w:cs="Calibri"/>
          <w:i/>
          <w:color w:val="000000" w:themeColor="text1"/>
          <w:sz w:val="24"/>
          <w:szCs w:val="24"/>
        </w:rPr>
        <w:t xml:space="preserve">). </w:t>
      </w:r>
      <w:r w:rsidRPr="00E03B48">
        <w:rPr>
          <w:rFonts w:cs="Calibri"/>
          <w:color w:val="000000" w:themeColor="text1"/>
          <w:sz w:val="24"/>
          <w:szCs w:val="24"/>
        </w:rPr>
        <w:t xml:space="preserve">Genomic analysis of </w:t>
      </w:r>
      <w:r w:rsidRPr="00E03B48">
        <w:rPr>
          <w:rFonts w:cs="Calibri"/>
          <w:i/>
          <w:color w:val="000000" w:themeColor="text1"/>
          <w:sz w:val="24"/>
          <w:szCs w:val="24"/>
        </w:rPr>
        <w:t xml:space="preserve">I. </w:t>
      </w:r>
      <w:proofErr w:type="spellStart"/>
      <w:r w:rsidRPr="00E03B48">
        <w:rPr>
          <w:rFonts w:cs="Calibri"/>
          <w:i/>
          <w:color w:val="000000" w:themeColor="text1"/>
          <w:sz w:val="24"/>
          <w:szCs w:val="24"/>
        </w:rPr>
        <w:t>bartletti</w:t>
      </w:r>
      <w:proofErr w:type="spellEnd"/>
      <w:r w:rsidRPr="00E03B48">
        <w:rPr>
          <w:rFonts w:cs="Calibri"/>
          <w:i/>
          <w:color w:val="000000" w:themeColor="text1"/>
          <w:sz w:val="24"/>
          <w:szCs w:val="24"/>
        </w:rPr>
        <w:t xml:space="preserve"> </w:t>
      </w:r>
      <w:r w:rsidRPr="00E03B48">
        <w:rPr>
          <w:rFonts w:cs="Calibri"/>
          <w:color w:val="000000" w:themeColor="text1"/>
          <w:sz w:val="24"/>
          <w:szCs w:val="24"/>
        </w:rPr>
        <w:t>identified pathogenic features. Pathogen Finder reported</w:t>
      </w:r>
      <w:r w:rsidR="00DB3B51" w:rsidRPr="00E03B48">
        <w:rPr>
          <w:rFonts w:cs="Calibri"/>
          <w:color w:val="000000" w:themeColor="text1"/>
          <w:sz w:val="24"/>
          <w:szCs w:val="24"/>
        </w:rPr>
        <w:t xml:space="preserve"> an</w:t>
      </w:r>
      <w:r w:rsidRPr="00E03B48">
        <w:rPr>
          <w:rFonts w:cs="Calibri"/>
          <w:color w:val="000000" w:themeColor="text1"/>
          <w:sz w:val="24"/>
          <w:szCs w:val="24"/>
        </w:rPr>
        <w:t xml:space="preserve"> 87.5% probability of human pathogenicity (11). </w:t>
      </w:r>
      <w:r w:rsidR="00A66AB2" w:rsidRPr="00E03B48">
        <w:rPr>
          <w:rFonts w:cs="Calibri"/>
          <w:color w:val="000000" w:themeColor="text1"/>
          <w:sz w:val="24"/>
          <w:szCs w:val="24"/>
        </w:rPr>
        <w:t>The v</w:t>
      </w:r>
      <w:r w:rsidRPr="00E03B48">
        <w:rPr>
          <w:rFonts w:cs="Calibri"/>
          <w:color w:val="000000" w:themeColor="text1"/>
          <w:sz w:val="24"/>
          <w:szCs w:val="24"/>
        </w:rPr>
        <w:t xml:space="preserve">irulence Factor Database (VFDB) reported 19 genes </w:t>
      </w:r>
      <w:r w:rsidR="40D147A3" w:rsidRPr="00E03B48">
        <w:rPr>
          <w:rFonts w:cs="Calibri"/>
          <w:color w:val="000000" w:themeColor="text1"/>
          <w:sz w:val="24"/>
          <w:szCs w:val="24"/>
        </w:rPr>
        <w:t>related</w:t>
      </w:r>
      <w:r w:rsidRPr="00E03B48">
        <w:rPr>
          <w:rFonts w:cs="Calibri"/>
          <w:color w:val="000000" w:themeColor="text1"/>
          <w:sz w:val="24"/>
          <w:szCs w:val="24"/>
        </w:rPr>
        <w:t xml:space="preserve"> to pathogenic genes (</w:t>
      </w:r>
      <w:proofErr w:type="spellStart"/>
      <w:r w:rsidRPr="00E03B48">
        <w:rPr>
          <w:rFonts w:cs="Calibri"/>
          <w:color w:val="000000" w:themeColor="text1"/>
          <w:sz w:val="24"/>
          <w:szCs w:val="24"/>
        </w:rPr>
        <w:t>CarB</w:t>
      </w:r>
      <w:proofErr w:type="spellEnd"/>
      <w:r w:rsidRPr="00E03B48">
        <w:rPr>
          <w:rFonts w:cs="Calibri"/>
          <w:color w:val="000000" w:themeColor="text1"/>
          <w:sz w:val="24"/>
          <w:szCs w:val="24"/>
        </w:rPr>
        <w:t xml:space="preserve">) </w:t>
      </w:r>
      <w:r w:rsidR="00180CD5" w:rsidRPr="00E03B48">
        <w:rPr>
          <w:rFonts w:cs="Calibri"/>
          <w:color w:val="000000" w:themeColor="text1"/>
          <w:sz w:val="24"/>
          <w:szCs w:val="24"/>
        </w:rPr>
        <w:t>(</w:t>
      </w:r>
      <w:hyperlink w:anchor="Table2" w:history="1">
        <w:r w:rsidR="00180CD5" w:rsidRPr="00E03B48">
          <w:rPr>
            <w:rStyle w:val="Hyperlink"/>
            <w:rFonts w:cs="Calibri"/>
            <w:sz w:val="24"/>
            <w:szCs w:val="24"/>
          </w:rPr>
          <w:t>Table 2</w:t>
        </w:r>
      </w:hyperlink>
      <w:r w:rsidR="00180CD5" w:rsidRPr="00E03B48">
        <w:rPr>
          <w:rFonts w:cs="Calibri"/>
          <w:color w:val="000000" w:themeColor="text1"/>
          <w:sz w:val="24"/>
          <w:szCs w:val="24"/>
        </w:rPr>
        <w:t xml:space="preserve">) </w:t>
      </w:r>
      <w:r w:rsidRPr="00E03B48">
        <w:rPr>
          <w:rFonts w:cs="Calibri"/>
          <w:color w:val="000000" w:themeColor="text1"/>
          <w:sz w:val="24"/>
          <w:szCs w:val="24"/>
        </w:rPr>
        <w:t xml:space="preserve">(12). </w:t>
      </w:r>
      <w:r w:rsidR="6B65A6BE" w:rsidRPr="00E03B48">
        <w:rPr>
          <w:rFonts w:cs="Calibri"/>
          <w:color w:val="000000" w:themeColor="text1"/>
          <w:sz w:val="24"/>
          <w:szCs w:val="24"/>
        </w:rPr>
        <w:t xml:space="preserve">Comprehensive </w:t>
      </w:r>
      <w:r w:rsidR="6B65A6BE" w:rsidRPr="00E03B48">
        <w:rPr>
          <w:rFonts w:cs="Calibri"/>
          <w:color w:val="000000" w:themeColor="text1"/>
          <w:sz w:val="24"/>
          <w:szCs w:val="24"/>
        </w:rPr>
        <w:lastRenderedPageBreak/>
        <w:t>Antibiotic Resistance Database (</w:t>
      </w:r>
      <w:r w:rsidRPr="00E03B48">
        <w:rPr>
          <w:rFonts w:cs="Calibri"/>
          <w:color w:val="000000" w:themeColor="text1"/>
          <w:sz w:val="24"/>
          <w:szCs w:val="24"/>
        </w:rPr>
        <w:t>CARD</w:t>
      </w:r>
      <w:r w:rsidR="6B65A6BE" w:rsidRPr="00E03B48">
        <w:rPr>
          <w:rFonts w:cs="Calibri"/>
          <w:color w:val="000000" w:themeColor="text1"/>
          <w:sz w:val="24"/>
          <w:szCs w:val="24"/>
        </w:rPr>
        <w:t xml:space="preserve">) v </w:t>
      </w:r>
      <w:r w:rsidR="7B612CE9" w:rsidRPr="00E03B48">
        <w:rPr>
          <w:rFonts w:cs="Calibri"/>
          <w:color w:val="000000" w:themeColor="text1"/>
          <w:sz w:val="24"/>
          <w:szCs w:val="24"/>
        </w:rPr>
        <w:t>3.2.4</w:t>
      </w:r>
      <w:r w:rsidRPr="00E03B48">
        <w:rPr>
          <w:rFonts w:cs="Calibri"/>
          <w:color w:val="000000" w:themeColor="text1"/>
          <w:sz w:val="24"/>
          <w:szCs w:val="24"/>
        </w:rPr>
        <w:t xml:space="preserve"> identified antibiotic</w:t>
      </w:r>
      <w:r w:rsidR="00A66AB2" w:rsidRPr="00E03B48">
        <w:rPr>
          <w:rFonts w:cs="Calibri"/>
          <w:color w:val="000000" w:themeColor="text1"/>
          <w:sz w:val="24"/>
          <w:szCs w:val="24"/>
        </w:rPr>
        <w:t>-</w:t>
      </w:r>
      <w:r w:rsidRPr="00E03B48">
        <w:rPr>
          <w:rFonts w:cs="Calibri"/>
          <w:color w:val="000000" w:themeColor="text1"/>
          <w:sz w:val="24"/>
          <w:szCs w:val="24"/>
        </w:rPr>
        <w:t xml:space="preserve">resistant genes </w:t>
      </w:r>
      <w:proofErr w:type="spellStart"/>
      <w:r w:rsidRPr="00E03B48">
        <w:rPr>
          <w:rFonts w:cs="Calibri"/>
          <w:color w:val="000000" w:themeColor="text1"/>
          <w:sz w:val="24"/>
          <w:szCs w:val="24"/>
        </w:rPr>
        <w:t>ErmQ</w:t>
      </w:r>
      <w:proofErr w:type="spellEnd"/>
      <w:r w:rsidRPr="00E03B48">
        <w:rPr>
          <w:rFonts w:cs="Calibri"/>
          <w:color w:val="000000" w:themeColor="text1"/>
          <w:sz w:val="24"/>
          <w:szCs w:val="24"/>
        </w:rPr>
        <w:t xml:space="preserve"> (MLS resistance)</w:t>
      </w:r>
      <w:r w:rsidR="0032398E" w:rsidRPr="00E03B48">
        <w:rPr>
          <w:rFonts w:cs="Calibri"/>
          <w:color w:val="000000" w:themeColor="text1"/>
          <w:sz w:val="24"/>
          <w:szCs w:val="24"/>
        </w:rPr>
        <w:t xml:space="preserve"> </w:t>
      </w:r>
      <w:r w:rsidRPr="00E03B48">
        <w:rPr>
          <w:rFonts w:cs="Calibri"/>
          <w:color w:val="000000" w:themeColor="text1"/>
          <w:sz w:val="24"/>
          <w:szCs w:val="24"/>
        </w:rPr>
        <w:t xml:space="preserve">and </w:t>
      </w:r>
      <w:proofErr w:type="spellStart"/>
      <w:r w:rsidRPr="00E03B48">
        <w:rPr>
          <w:rFonts w:cs="Calibri"/>
          <w:color w:val="000000" w:themeColor="text1"/>
          <w:sz w:val="24"/>
          <w:szCs w:val="24"/>
        </w:rPr>
        <w:t>vanW</w:t>
      </w:r>
      <w:proofErr w:type="spellEnd"/>
      <w:r w:rsidRPr="00E03B48">
        <w:rPr>
          <w:rFonts w:cs="Calibri"/>
          <w:color w:val="000000" w:themeColor="text1"/>
          <w:sz w:val="24"/>
          <w:szCs w:val="24"/>
        </w:rPr>
        <w:t>,</w:t>
      </w:r>
      <w:r w:rsidR="00B90B68" w:rsidRPr="00E03B48">
        <w:rPr>
          <w:rFonts w:cs="Calibri"/>
          <w:color w:val="000000" w:themeColor="text1"/>
          <w:sz w:val="24"/>
          <w:szCs w:val="24"/>
        </w:rPr>
        <w:t xml:space="preserve"> </w:t>
      </w:r>
      <w:proofErr w:type="spellStart"/>
      <w:r w:rsidRPr="00E03B48">
        <w:rPr>
          <w:rFonts w:cs="Calibri"/>
          <w:color w:val="000000" w:themeColor="text1"/>
          <w:sz w:val="24"/>
          <w:szCs w:val="24"/>
        </w:rPr>
        <w:t>vanT</w:t>
      </w:r>
      <w:proofErr w:type="spellEnd"/>
      <w:r w:rsidRPr="00E03B48">
        <w:rPr>
          <w:rFonts w:cs="Calibri"/>
          <w:color w:val="000000" w:themeColor="text1"/>
          <w:sz w:val="24"/>
          <w:szCs w:val="24"/>
        </w:rPr>
        <w:t xml:space="preserve">, and </w:t>
      </w:r>
      <w:proofErr w:type="spellStart"/>
      <w:r w:rsidRPr="00E03B48">
        <w:rPr>
          <w:rFonts w:cs="Calibri"/>
          <w:color w:val="000000" w:themeColor="text1"/>
          <w:sz w:val="24"/>
          <w:szCs w:val="24"/>
        </w:rPr>
        <w:t>vanY</w:t>
      </w:r>
      <w:proofErr w:type="spellEnd"/>
      <w:r w:rsidRPr="00E03B48">
        <w:rPr>
          <w:rFonts w:cs="Calibri"/>
          <w:color w:val="000000" w:themeColor="text1"/>
          <w:sz w:val="24"/>
          <w:szCs w:val="24"/>
        </w:rPr>
        <w:t xml:space="preserve"> (glycopeptide resistance) (13). </w:t>
      </w:r>
      <w:proofErr w:type="spellStart"/>
      <w:r w:rsidRPr="00E03B48">
        <w:rPr>
          <w:rFonts w:cs="Calibri"/>
          <w:color w:val="000000" w:themeColor="text1"/>
          <w:sz w:val="24"/>
          <w:szCs w:val="24"/>
        </w:rPr>
        <w:t>CRISPRCasFinder</w:t>
      </w:r>
      <w:proofErr w:type="spellEnd"/>
      <w:r w:rsidRPr="00E03B48">
        <w:rPr>
          <w:rFonts w:cs="Calibri"/>
          <w:color w:val="000000" w:themeColor="text1"/>
          <w:sz w:val="24"/>
          <w:szCs w:val="24"/>
        </w:rPr>
        <w:t xml:space="preserve"> </w:t>
      </w:r>
      <w:r w:rsidR="07A363CA" w:rsidRPr="00E03B48">
        <w:rPr>
          <w:rFonts w:cs="Calibri"/>
          <w:color w:val="000000" w:themeColor="text1"/>
          <w:sz w:val="24"/>
          <w:szCs w:val="24"/>
        </w:rPr>
        <w:t xml:space="preserve">v 4.3.2 </w:t>
      </w:r>
      <w:r w:rsidRPr="00E03B48">
        <w:rPr>
          <w:rFonts w:cs="Calibri"/>
          <w:color w:val="000000" w:themeColor="text1"/>
          <w:sz w:val="24"/>
          <w:szCs w:val="24"/>
        </w:rPr>
        <w:t xml:space="preserve">confirmed two CRISPR/Cas regions with strong evidence (two CRISPR, seven </w:t>
      </w:r>
      <w:proofErr w:type="spellStart"/>
      <w:r w:rsidRPr="00E03B48">
        <w:rPr>
          <w:rFonts w:cs="Calibri"/>
          <w:color w:val="000000" w:themeColor="text1"/>
          <w:sz w:val="24"/>
          <w:szCs w:val="24"/>
        </w:rPr>
        <w:t>cas</w:t>
      </w:r>
      <w:proofErr w:type="spellEnd"/>
      <w:r w:rsidRPr="00E03B48">
        <w:rPr>
          <w:rFonts w:cs="Calibri"/>
          <w:color w:val="000000" w:themeColor="text1"/>
          <w:sz w:val="24"/>
          <w:szCs w:val="24"/>
        </w:rPr>
        <w:t xml:space="preserve"> genes)</w:t>
      </w:r>
      <w:r w:rsidR="00C35074" w:rsidRPr="00E03B48">
        <w:rPr>
          <w:rFonts w:cs="Calibri"/>
          <w:color w:val="000000" w:themeColor="text1"/>
          <w:sz w:val="24"/>
          <w:szCs w:val="24"/>
        </w:rPr>
        <w:t xml:space="preserve"> </w:t>
      </w:r>
      <w:r w:rsidRPr="00E03B48">
        <w:rPr>
          <w:rFonts w:cs="Calibri"/>
          <w:color w:val="000000" w:themeColor="text1"/>
          <w:sz w:val="24"/>
          <w:szCs w:val="24"/>
        </w:rPr>
        <w:t>and one weaker evidence CRISPR region (1</w:t>
      </w:r>
      <w:r w:rsidR="009B6003" w:rsidRPr="00E03B48">
        <w:rPr>
          <w:rFonts w:cs="Calibri"/>
          <w:color w:val="000000" w:themeColor="text1"/>
          <w:sz w:val="24"/>
          <w:szCs w:val="24"/>
        </w:rPr>
        <w:t>4</w:t>
      </w:r>
      <w:r w:rsidRPr="00E03B48">
        <w:rPr>
          <w:rFonts w:cs="Calibri"/>
          <w:color w:val="000000" w:themeColor="text1"/>
          <w:sz w:val="24"/>
          <w:szCs w:val="24"/>
        </w:rPr>
        <w:t xml:space="preserve">). </w:t>
      </w:r>
      <w:proofErr w:type="spellStart"/>
      <w:r w:rsidRPr="00E03B48">
        <w:rPr>
          <w:rFonts w:cs="Calibri"/>
          <w:color w:val="000000" w:themeColor="text1"/>
          <w:sz w:val="24"/>
          <w:szCs w:val="24"/>
        </w:rPr>
        <w:t>AntiSMASH</w:t>
      </w:r>
      <w:proofErr w:type="spellEnd"/>
      <w:r w:rsidRPr="00E03B48">
        <w:rPr>
          <w:rFonts w:cs="Calibri"/>
          <w:color w:val="000000" w:themeColor="text1"/>
          <w:sz w:val="24"/>
          <w:szCs w:val="24"/>
        </w:rPr>
        <w:t xml:space="preserve"> (v8.0, relaxed settings) predicted three biosynthetic gene clusters: terpene precursor (region 9.1) and two </w:t>
      </w:r>
      <w:proofErr w:type="spellStart"/>
      <w:r w:rsidRPr="00E03B48">
        <w:rPr>
          <w:rFonts w:cs="Calibri"/>
          <w:color w:val="000000" w:themeColor="text1"/>
          <w:sz w:val="24"/>
          <w:szCs w:val="24"/>
        </w:rPr>
        <w:t>ranthipeptide</w:t>
      </w:r>
      <w:r w:rsidR="00FD35D2" w:rsidRPr="00E03B48">
        <w:rPr>
          <w:rFonts w:cs="Calibri"/>
          <w:color w:val="000000" w:themeColor="text1"/>
          <w:sz w:val="24"/>
          <w:szCs w:val="24"/>
        </w:rPr>
        <w:t>s</w:t>
      </w:r>
      <w:proofErr w:type="spellEnd"/>
      <w:r w:rsidRPr="00E03B48">
        <w:rPr>
          <w:rFonts w:cs="Calibri"/>
          <w:color w:val="000000" w:themeColor="text1"/>
          <w:sz w:val="24"/>
          <w:szCs w:val="24"/>
        </w:rPr>
        <w:t xml:space="preserve"> (regions 12.1 and 13.1) (1</w:t>
      </w:r>
      <w:r w:rsidR="009B6003" w:rsidRPr="00E03B48">
        <w:rPr>
          <w:rFonts w:cs="Calibri"/>
          <w:color w:val="000000" w:themeColor="text1"/>
          <w:sz w:val="24"/>
          <w:szCs w:val="24"/>
        </w:rPr>
        <w:t>5</w:t>
      </w:r>
      <w:r w:rsidRPr="00E03B48">
        <w:rPr>
          <w:rFonts w:cs="Calibri"/>
          <w:color w:val="000000" w:themeColor="text1"/>
          <w:sz w:val="24"/>
          <w:szCs w:val="24"/>
        </w:rPr>
        <w:t>).</w:t>
      </w:r>
      <w:r w:rsidRPr="005D240C">
        <w:rPr>
          <w:rFonts w:cs="Calibri"/>
          <w:color w:val="000000" w:themeColor="text1"/>
          <w:sz w:val="24"/>
          <w:szCs w:val="24"/>
        </w:rPr>
        <w:t xml:space="preserve"> </w:t>
      </w:r>
    </w:p>
    <w:p w14:paraId="58BB7BFE" w14:textId="77777777" w:rsidR="00A0061F" w:rsidRPr="005D240C" w:rsidRDefault="00A0061F" w:rsidP="00506E2C">
      <w:pPr>
        <w:spacing w:line="240" w:lineRule="auto"/>
        <w:rPr>
          <w:rFonts w:cs="Calibri"/>
          <w:color w:val="000000"/>
          <w:sz w:val="24"/>
          <w:szCs w:val="24"/>
        </w:rPr>
      </w:pPr>
    </w:p>
    <w:tbl>
      <w:tblPr>
        <w:tblW w:w="10078" w:type="dxa"/>
        <w:tblCellMar>
          <w:top w:w="15" w:type="dxa"/>
          <w:left w:w="15" w:type="dxa"/>
          <w:bottom w:w="15" w:type="dxa"/>
          <w:right w:w="15" w:type="dxa"/>
        </w:tblCellMar>
        <w:tblLook w:val="04A0" w:firstRow="1" w:lastRow="0" w:firstColumn="1" w:lastColumn="0" w:noHBand="0" w:noVBand="1"/>
      </w:tblPr>
      <w:tblGrid>
        <w:gridCol w:w="10078"/>
      </w:tblGrid>
      <w:tr w:rsidR="00506E2C" w:rsidRPr="005D240C" w14:paraId="2D453613" w14:textId="77777777" w:rsidTr="00626A07">
        <w:trPr>
          <w:trHeight w:val="3850"/>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625CE9D5" w14:textId="676AC18D" w:rsidR="00506E2C" w:rsidRPr="005D240C" w:rsidRDefault="00506E2C" w:rsidP="00626A07">
            <w:pPr>
              <w:spacing w:line="480" w:lineRule="auto"/>
              <w:rPr>
                <w:rFonts w:cs="Calibri"/>
                <w:sz w:val="24"/>
                <w:szCs w:val="24"/>
              </w:rPr>
            </w:pPr>
            <w:r w:rsidRPr="005D240C">
              <w:rPr>
                <w:rFonts w:cs="Calibri"/>
                <w:b/>
                <w:bCs/>
                <w:color w:val="000000"/>
                <w:sz w:val="24"/>
                <w:szCs w:val="24"/>
              </w:rPr>
              <w:t>TABLE 1</w:t>
            </w:r>
            <w:r w:rsidRPr="005D240C">
              <w:rPr>
                <w:rFonts w:cs="Calibri"/>
                <w:b/>
                <w:bCs/>
                <w:color w:val="707070"/>
                <w:sz w:val="24"/>
                <w:szCs w:val="24"/>
                <w:shd w:val="clear" w:color="auto" w:fill="FFFFFF"/>
              </w:rPr>
              <w:t xml:space="preserve"> </w:t>
            </w:r>
            <w:r w:rsidRPr="005D240C">
              <w:rPr>
                <w:rFonts w:cs="Calibri"/>
                <w:b/>
                <w:bCs/>
                <w:color w:val="999999"/>
                <w:sz w:val="24"/>
                <w:szCs w:val="24"/>
                <w:shd w:val="clear" w:color="auto" w:fill="FFFFFF"/>
              </w:rPr>
              <w:t>G</w:t>
            </w:r>
            <w:bookmarkStart w:id="0" w:name="Table1"/>
            <w:bookmarkEnd w:id="0"/>
            <w:r w:rsidRPr="005D240C">
              <w:rPr>
                <w:rFonts w:cs="Calibri"/>
                <w:b/>
                <w:bCs/>
                <w:color w:val="999999"/>
                <w:sz w:val="24"/>
                <w:szCs w:val="24"/>
                <w:shd w:val="clear" w:color="auto" w:fill="FFFFFF"/>
              </w:rPr>
              <w:t xml:space="preserve">enomic </w:t>
            </w:r>
            <w:r w:rsidR="00BF1B53">
              <w:rPr>
                <w:rFonts w:cs="Calibri"/>
                <w:b/>
                <w:bCs/>
                <w:color w:val="999999"/>
                <w:sz w:val="24"/>
                <w:szCs w:val="24"/>
                <w:shd w:val="clear" w:color="auto" w:fill="FFFFFF"/>
              </w:rPr>
              <w:t>F</w:t>
            </w:r>
            <w:r w:rsidRPr="005D240C">
              <w:rPr>
                <w:rFonts w:cs="Calibri"/>
                <w:b/>
                <w:bCs/>
                <w:color w:val="999999"/>
                <w:sz w:val="24"/>
                <w:szCs w:val="24"/>
                <w:shd w:val="clear" w:color="auto" w:fill="FFFFFF"/>
              </w:rPr>
              <w:t xml:space="preserve">eatures of </w:t>
            </w:r>
            <w:proofErr w:type="spellStart"/>
            <w:r w:rsidRPr="005D240C">
              <w:rPr>
                <w:rFonts w:cs="Calibri"/>
                <w:b/>
                <w:bCs/>
                <w:i/>
                <w:iCs/>
                <w:color w:val="999999"/>
                <w:sz w:val="24"/>
                <w:szCs w:val="24"/>
              </w:rPr>
              <w:t>Intestinibacter</w:t>
            </w:r>
            <w:proofErr w:type="spellEnd"/>
            <w:r w:rsidRPr="005D240C">
              <w:rPr>
                <w:rFonts w:cs="Calibri"/>
                <w:b/>
                <w:bCs/>
                <w:i/>
                <w:iCs/>
                <w:color w:val="999999"/>
                <w:sz w:val="24"/>
                <w:szCs w:val="24"/>
              </w:rPr>
              <w:t xml:space="preserve"> </w:t>
            </w:r>
            <w:proofErr w:type="spellStart"/>
            <w:r w:rsidRPr="005D240C">
              <w:rPr>
                <w:rFonts w:cs="Calibri"/>
                <w:b/>
                <w:bCs/>
                <w:i/>
                <w:iCs/>
                <w:color w:val="999999"/>
                <w:sz w:val="24"/>
                <w:szCs w:val="24"/>
              </w:rPr>
              <w:t>bartletti</w:t>
            </w:r>
            <w:proofErr w:type="spellEnd"/>
            <w:r w:rsidRPr="005D240C">
              <w:rPr>
                <w:rFonts w:cs="Calibri"/>
                <w:b/>
                <w:bCs/>
                <w:i/>
                <w:iCs/>
                <w:color w:val="999999"/>
                <w:sz w:val="24"/>
                <w:szCs w:val="24"/>
              </w:rPr>
              <w:t xml:space="preserve"> </w:t>
            </w:r>
            <w:r w:rsidRPr="005D240C">
              <w:rPr>
                <w:rFonts w:cs="Calibri"/>
                <w:b/>
                <w:bCs/>
                <w:color w:val="999999"/>
                <w:sz w:val="24"/>
                <w:szCs w:val="24"/>
              </w:rPr>
              <w:t>DSM 16795</w:t>
            </w:r>
          </w:p>
          <w:tbl>
            <w:tblPr>
              <w:tblW w:w="9737" w:type="dxa"/>
              <w:tblInd w:w="14" w:type="dxa"/>
              <w:tblCellMar>
                <w:top w:w="15" w:type="dxa"/>
                <w:left w:w="15" w:type="dxa"/>
                <w:bottom w:w="15" w:type="dxa"/>
                <w:right w:w="15" w:type="dxa"/>
              </w:tblCellMar>
              <w:tblLook w:val="04A0" w:firstRow="1" w:lastRow="0" w:firstColumn="1" w:lastColumn="0" w:noHBand="0" w:noVBand="1"/>
            </w:tblPr>
            <w:tblGrid>
              <w:gridCol w:w="4883"/>
              <w:gridCol w:w="4854"/>
            </w:tblGrid>
            <w:tr w:rsidR="00506E2C" w:rsidRPr="005D240C" w14:paraId="14353250"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shd w:val="clear" w:color="auto" w:fill="EFEFEF"/>
                  <w:tcMar>
                    <w:top w:w="0" w:type="dxa"/>
                    <w:left w:w="100" w:type="dxa"/>
                    <w:bottom w:w="0" w:type="dxa"/>
                    <w:right w:w="100" w:type="dxa"/>
                  </w:tcMar>
                  <w:hideMark/>
                </w:tcPr>
                <w:p w14:paraId="2183875E" w14:textId="77777777" w:rsidR="00506E2C" w:rsidRPr="005D240C" w:rsidRDefault="00506E2C" w:rsidP="00626A07">
                  <w:pPr>
                    <w:spacing w:line="480" w:lineRule="auto"/>
                    <w:jc w:val="center"/>
                    <w:rPr>
                      <w:rFonts w:cs="Calibri"/>
                      <w:sz w:val="24"/>
                      <w:szCs w:val="24"/>
                    </w:rPr>
                  </w:pPr>
                  <w:r w:rsidRPr="005D240C">
                    <w:rPr>
                      <w:rFonts w:cs="Calibri"/>
                      <w:b/>
                      <w:bCs/>
                      <w:color w:val="000000"/>
                      <w:sz w:val="24"/>
                      <w:szCs w:val="24"/>
                    </w:rPr>
                    <w:t>Feature</w:t>
                  </w:r>
                </w:p>
              </w:tc>
              <w:tc>
                <w:tcPr>
                  <w:tcW w:w="4854" w:type="dxa"/>
                  <w:tcBorders>
                    <w:top w:val="single" w:sz="8" w:space="0" w:color="D9D9D9"/>
                    <w:left w:val="single" w:sz="8" w:space="0" w:color="D9D9D9"/>
                    <w:bottom w:val="single" w:sz="8" w:space="0" w:color="D9D9D9"/>
                    <w:right w:val="single" w:sz="8" w:space="0" w:color="D9D9D9"/>
                  </w:tcBorders>
                  <w:shd w:val="clear" w:color="auto" w:fill="EFEFEF"/>
                  <w:tcMar>
                    <w:top w:w="0" w:type="dxa"/>
                    <w:left w:w="100" w:type="dxa"/>
                    <w:bottom w:w="0" w:type="dxa"/>
                    <w:right w:w="100" w:type="dxa"/>
                  </w:tcMar>
                  <w:hideMark/>
                </w:tcPr>
                <w:p w14:paraId="4DECE5B5" w14:textId="77777777" w:rsidR="00506E2C" w:rsidRPr="005D240C" w:rsidRDefault="00506E2C" w:rsidP="00626A07">
                  <w:pPr>
                    <w:spacing w:line="480" w:lineRule="auto"/>
                    <w:jc w:val="center"/>
                    <w:rPr>
                      <w:rFonts w:cs="Calibri"/>
                      <w:sz w:val="24"/>
                      <w:szCs w:val="24"/>
                    </w:rPr>
                  </w:pPr>
                  <w:r w:rsidRPr="005D240C">
                    <w:rPr>
                      <w:rFonts w:cs="Calibri"/>
                      <w:b/>
                      <w:bCs/>
                      <w:color w:val="000000"/>
                      <w:sz w:val="24"/>
                      <w:szCs w:val="24"/>
                    </w:rPr>
                    <w:t>Finding</w:t>
                  </w:r>
                </w:p>
              </w:tc>
            </w:tr>
            <w:tr w:rsidR="00506E2C" w:rsidRPr="005D240C" w14:paraId="537A1574"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57D7ED92" w14:textId="77777777" w:rsidR="00506E2C" w:rsidRPr="005D240C" w:rsidRDefault="00506E2C" w:rsidP="00626A07">
                  <w:pPr>
                    <w:spacing w:line="480" w:lineRule="auto"/>
                    <w:rPr>
                      <w:rFonts w:cs="Calibri"/>
                      <w:sz w:val="24"/>
                      <w:szCs w:val="24"/>
                    </w:rPr>
                  </w:pPr>
                  <w:r w:rsidRPr="005D240C">
                    <w:rPr>
                      <w:rFonts w:cs="Calibri"/>
                      <w:color w:val="000000"/>
                      <w:sz w:val="24"/>
                      <w:szCs w:val="24"/>
                    </w:rPr>
                    <w:t>Length (bp)</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1C1D0F6" w14:textId="77777777" w:rsidR="00506E2C" w:rsidRPr="005D240C" w:rsidRDefault="00506E2C" w:rsidP="00626A07">
                  <w:pPr>
                    <w:spacing w:line="480" w:lineRule="auto"/>
                    <w:rPr>
                      <w:rFonts w:cs="Calibri"/>
                      <w:sz w:val="24"/>
                      <w:szCs w:val="24"/>
                    </w:rPr>
                  </w:pPr>
                  <w:r w:rsidRPr="005D240C">
                    <w:rPr>
                      <w:rFonts w:cs="Calibri"/>
                      <w:color w:val="000000"/>
                      <w:sz w:val="24"/>
                      <w:szCs w:val="24"/>
                    </w:rPr>
                    <w:t>  2,971,856</w:t>
                  </w:r>
                </w:p>
              </w:tc>
            </w:tr>
            <w:tr w:rsidR="00506E2C" w:rsidRPr="005D240C" w14:paraId="1DF10100"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0D95E3CD" w14:textId="77777777" w:rsidR="00506E2C" w:rsidRPr="005D240C" w:rsidRDefault="00506E2C" w:rsidP="00626A07">
                  <w:pPr>
                    <w:spacing w:line="480" w:lineRule="auto"/>
                    <w:rPr>
                      <w:rFonts w:cs="Calibri"/>
                      <w:sz w:val="24"/>
                      <w:szCs w:val="24"/>
                    </w:rPr>
                  </w:pPr>
                  <w:r w:rsidRPr="005D240C">
                    <w:rPr>
                      <w:rFonts w:cs="Calibri"/>
                      <w:color w:val="000000"/>
                      <w:sz w:val="24"/>
                      <w:szCs w:val="24"/>
                    </w:rPr>
                    <w:t>Status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4A50EF16" w14:textId="77777777" w:rsidR="00506E2C" w:rsidRPr="005D240C" w:rsidRDefault="00506E2C" w:rsidP="00626A07">
                  <w:pPr>
                    <w:spacing w:line="480" w:lineRule="auto"/>
                    <w:rPr>
                      <w:rFonts w:cs="Calibri"/>
                      <w:sz w:val="24"/>
                      <w:szCs w:val="24"/>
                    </w:rPr>
                  </w:pPr>
                  <w:r w:rsidRPr="005D240C">
                    <w:rPr>
                      <w:rFonts w:cs="Calibri"/>
                      <w:color w:val="000000"/>
                      <w:sz w:val="24"/>
                      <w:szCs w:val="24"/>
                    </w:rPr>
                    <w:t>  Draft genome</w:t>
                  </w:r>
                </w:p>
              </w:tc>
            </w:tr>
            <w:tr w:rsidR="00506E2C" w:rsidRPr="005D240C" w14:paraId="2955A5DD"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41C026F4" w14:textId="77777777" w:rsidR="00506E2C" w:rsidRPr="005D240C" w:rsidRDefault="00506E2C" w:rsidP="00626A07">
                  <w:pPr>
                    <w:spacing w:line="480" w:lineRule="auto"/>
                    <w:rPr>
                      <w:rFonts w:cs="Calibri"/>
                      <w:sz w:val="24"/>
                      <w:szCs w:val="24"/>
                    </w:rPr>
                  </w:pPr>
                  <w:r w:rsidRPr="005D240C">
                    <w:rPr>
                      <w:rFonts w:cs="Calibri"/>
                      <w:color w:val="000000"/>
                      <w:sz w:val="24"/>
                      <w:szCs w:val="24"/>
                    </w:rPr>
                    <w:t>No. of contigs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03A34333" w14:textId="77777777" w:rsidR="00506E2C" w:rsidRPr="005D240C" w:rsidRDefault="00506E2C" w:rsidP="00626A07">
                  <w:pPr>
                    <w:spacing w:line="480" w:lineRule="auto"/>
                    <w:rPr>
                      <w:rFonts w:cs="Calibri"/>
                      <w:sz w:val="24"/>
                      <w:szCs w:val="24"/>
                    </w:rPr>
                  </w:pPr>
                  <w:r w:rsidRPr="005D240C">
                    <w:rPr>
                      <w:rFonts w:cs="Calibri"/>
                      <w:color w:val="000000"/>
                      <w:sz w:val="24"/>
                      <w:szCs w:val="24"/>
                    </w:rPr>
                    <w:t>  22</w:t>
                  </w:r>
                </w:p>
              </w:tc>
            </w:tr>
            <w:tr w:rsidR="00506E2C" w:rsidRPr="005D240C" w14:paraId="4D0735E2"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55C8DAD0" w14:textId="77777777" w:rsidR="00506E2C" w:rsidRPr="005D240C" w:rsidRDefault="00506E2C" w:rsidP="00626A07">
                  <w:pPr>
                    <w:spacing w:line="480" w:lineRule="auto"/>
                    <w:rPr>
                      <w:rFonts w:cs="Calibri"/>
                      <w:sz w:val="24"/>
                      <w:szCs w:val="24"/>
                    </w:rPr>
                  </w:pPr>
                  <w:r w:rsidRPr="005D240C">
                    <w:rPr>
                      <w:rFonts w:cs="Calibri"/>
                      <w:color w:val="000000"/>
                      <w:sz w:val="24"/>
                      <w:szCs w:val="24"/>
                    </w:rPr>
                    <w:t>GC content (%)</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57F3B00" w14:textId="77777777" w:rsidR="00506E2C" w:rsidRPr="005D240C" w:rsidRDefault="00506E2C" w:rsidP="00626A07">
                  <w:pPr>
                    <w:spacing w:line="480" w:lineRule="auto"/>
                    <w:rPr>
                      <w:rFonts w:cs="Calibri"/>
                      <w:sz w:val="24"/>
                      <w:szCs w:val="24"/>
                    </w:rPr>
                  </w:pPr>
                  <w:r w:rsidRPr="005D240C">
                    <w:rPr>
                      <w:rFonts w:cs="Calibri"/>
                      <w:color w:val="000000"/>
                      <w:sz w:val="24"/>
                      <w:szCs w:val="24"/>
                    </w:rPr>
                    <w:t>  28.84%</w:t>
                  </w:r>
                </w:p>
              </w:tc>
            </w:tr>
            <w:tr w:rsidR="00506E2C" w:rsidRPr="005D240C" w14:paraId="63035C7F"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28AAF280" w14:textId="77777777" w:rsidR="00506E2C" w:rsidRPr="005D240C" w:rsidRDefault="00506E2C" w:rsidP="00626A07">
                  <w:pPr>
                    <w:spacing w:line="480" w:lineRule="auto"/>
                    <w:rPr>
                      <w:rFonts w:cs="Calibri"/>
                      <w:sz w:val="24"/>
                      <w:szCs w:val="24"/>
                    </w:rPr>
                  </w:pPr>
                  <w:r w:rsidRPr="005D240C">
                    <w:rPr>
                      <w:rFonts w:cs="Calibri"/>
                      <w:color w:val="000000"/>
                      <w:sz w:val="24"/>
                      <w:szCs w:val="24"/>
                    </w:rPr>
                    <w:t>No. of genes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4125D258" w14:textId="77777777" w:rsidR="00506E2C" w:rsidRPr="005D240C" w:rsidRDefault="00506E2C" w:rsidP="00626A07">
                  <w:pPr>
                    <w:spacing w:line="480" w:lineRule="auto"/>
                    <w:rPr>
                      <w:rFonts w:cs="Calibri"/>
                      <w:sz w:val="24"/>
                      <w:szCs w:val="24"/>
                    </w:rPr>
                  </w:pPr>
                  <w:r w:rsidRPr="005D240C">
                    <w:rPr>
                      <w:rFonts w:cs="Calibri"/>
                      <w:color w:val="000000"/>
                      <w:sz w:val="24"/>
                      <w:szCs w:val="24"/>
                    </w:rPr>
                    <w:t>  2,875</w:t>
                  </w:r>
                </w:p>
              </w:tc>
            </w:tr>
            <w:tr w:rsidR="00506E2C" w:rsidRPr="005D240C" w14:paraId="24E8EE2A"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3006EDF" w14:textId="77777777" w:rsidR="00506E2C" w:rsidRPr="005D240C" w:rsidRDefault="00506E2C" w:rsidP="00626A07">
                  <w:pPr>
                    <w:spacing w:line="480" w:lineRule="auto"/>
                    <w:rPr>
                      <w:rFonts w:cs="Calibri"/>
                      <w:sz w:val="24"/>
                      <w:szCs w:val="24"/>
                    </w:rPr>
                  </w:pPr>
                  <w:r w:rsidRPr="005D240C">
                    <w:rPr>
                      <w:rFonts w:cs="Calibri"/>
                      <w:color w:val="000000"/>
                      <w:sz w:val="24"/>
                      <w:szCs w:val="24"/>
                    </w:rPr>
                    <w:t>No. of coding sequences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2AA28B9" w14:textId="77777777" w:rsidR="00506E2C" w:rsidRPr="005D240C" w:rsidRDefault="00506E2C" w:rsidP="00626A07">
                  <w:pPr>
                    <w:spacing w:line="480" w:lineRule="auto"/>
                    <w:rPr>
                      <w:rFonts w:cs="Calibri"/>
                      <w:sz w:val="24"/>
                      <w:szCs w:val="24"/>
                    </w:rPr>
                  </w:pPr>
                  <w:r w:rsidRPr="005D240C">
                    <w:rPr>
                      <w:rFonts w:cs="Calibri"/>
                      <w:color w:val="000000"/>
                      <w:sz w:val="24"/>
                      <w:szCs w:val="24"/>
                    </w:rPr>
                    <w:t>  2,787</w:t>
                  </w:r>
                </w:p>
              </w:tc>
            </w:tr>
            <w:tr w:rsidR="00506E2C" w:rsidRPr="005D240C" w14:paraId="4F307960"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7059A80" w14:textId="77777777" w:rsidR="00506E2C" w:rsidRPr="005D240C" w:rsidRDefault="00506E2C" w:rsidP="00626A07">
                  <w:pPr>
                    <w:spacing w:line="480" w:lineRule="auto"/>
                    <w:rPr>
                      <w:rFonts w:cs="Calibri"/>
                      <w:sz w:val="24"/>
                      <w:szCs w:val="24"/>
                    </w:rPr>
                  </w:pPr>
                  <w:r w:rsidRPr="005D240C">
                    <w:rPr>
                      <w:rFonts w:cs="Calibri"/>
                      <w:color w:val="000000"/>
                      <w:sz w:val="24"/>
                      <w:szCs w:val="24"/>
                    </w:rPr>
                    <w:t>No. of rRNAs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4D04E0CA" w14:textId="77777777" w:rsidR="00506E2C" w:rsidRPr="005D240C" w:rsidRDefault="00506E2C" w:rsidP="00626A07">
                  <w:pPr>
                    <w:spacing w:line="480" w:lineRule="auto"/>
                    <w:rPr>
                      <w:rFonts w:cs="Calibri"/>
                      <w:sz w:val="24"/>
                      <w:szCs w:val="24"/>
                    </w:rPr>
                  </w:pPr>
                  <w:r w:rsidRPr="005D240C">
                    <w:rPr>
                      <w:rFonts w:cs="Calibri"/>
                      <w:color w:val="000000"/>
                      <w:sz w:val="24"/>
                      <w:szCs w:val="24"/>
                    </w:rPr>
                    <w:t>  28</w:t>
                  </w:r>
                </w:p>
              </w:tc>
            </w:tr>
            <w:tr w:rsidR="00506E2C" w:rsidRPr="005D240C" w14:paraId="4C3ECFE6" w14:textId="77777777" w:rsidTr="00626A07">
              <w:trPr>
                <w:trHeight w:val="323"/>
              </w:trPr>
              <w:tc>
                <w:tcPr>
                  <w:tcW w:w="0" w:type="auto"/>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11AD4978" w14:textId="77777777" w:rsidR="00506E2C" w:rsidRPr="005D240C" w:rsidRDefault="00506E2C" w:rsidP="00626A07">
                  <w:pPr>
                    <w:spacing w:line="480" w:lineRule="auto"/>
                    <w:rPr>
                      <w:rFonts w:cs="Calibri"/>
                      <w:sz w:val="24"/>
                      <w:szCs w:val="24"/>
                    </w:rPr>
                  </w:pPr>
                  <w:r w:rsidRPr="005D240C">
                    <w:rPr>
                      <w:rFonts w:cs="Calibri"/>
                      <w:color w:val="000000"/>
                      <w:sz w:val="24"/>
                      <w:szCs w:val="24"/>
                    </w:rPr>
                    <w:t>No. of tRNAs</w:t>
                  </w:r>
                </w:p>
              </w:tc>
              <w:tc>
                <w:tcPr>
                  <w:tcW w:w="4854" w:type="dxa"/>
                  <w:tcBorders>
                    <w:top w:val="single" w:sz="8" w:space="0" w:color="D9D9D9"/>
                    <w:left w:val="single" w:sz="8" w:space="0" w:color="D9D9D9"/>
                    <w:bottom w:val="single" w:sz="8" w:space="0" w:color="D9D9D9"/>
                    <w:right w:val="single" w:sz="8" w:space="0" w:color="D9D9D9"/>
                  </w:tcBorders>
                  <w:tcMar>
                    <w:top w:w="0" w:type="dxa"/>
                    <w:left w:w="100" w:type="dxa"/>
                    <w:bottom w:w="0" w:type="dxa"/>
                    <w:right w:w="100" w:type="dxa"/>
                  </w:tcMar>
                  <w:hideMark/>
                </w:tcPr>
                <w:p w14:paraId="3FE84228" w14:textId="77777777" w:rsidR="00506E2C" w:rsidRPr="005D240C" w:rsidRDefault="00506E2C" w:rsidP="00626A07">
                  <w:pPr>
                    <w:spacing w:line="480" w:lineRule="auto"/>
                    <w:rPr>
                      <w:rFonts w:cs="Calibri"/>
                      <w:sz w:val="24"/>
                      <w:szCs w:val="24"/>
                    </w:rPr>
                  </w:pPr>
                  <w:r w:rsidRPr="005D240C">
                    <w:rPr>
                      <w:rFonts w:cs="Calibri"/>
                      <w:color w:val="000000"/>
                      <w:sz w:val="24"/>
                      <w:szCs w:val="24"/>
                    </w:rPr>
                    <w:t>  59</w:t>
                  </w:r>
                </w:p>
              </w:tc>
            </w:tr>
          </w:tbl>
          <w:p w14:paraId="20BA7C74" w14:textId="77777777" w:rsidR="00506E2C" w:rsidRPr="005D240C" w:rsidRDefault="00506E2C" w:rsidP="00626A07">
            <w:pPr>
              <w:spacing w:line="480" w:lineRule="auto"/>
              <w:rPr>
                <w:rFonts w:cs="Calibri"/>
                <w:sz w:val="24"/>
                <w:szCs w:val="24"/>
              </w:rPr>
            </w:pPr>
          </w:p>
        </w:tc>
      </w:tr>
    </w:tbl>
    <w:p w14:paraId="74078776" w14:textId="77777777" w:rsidR="00506E2C" w:rsidRDefault="00506E2C" w:rsidP="00506E2C">
      <w:pPr>
        <w:spacing w:line="240" w:lineRule="auto"/>
        <w:rPr>
          <w:color w:val="000000"/>
        </w:rPr>
      </w:pPr>
    </w:p>
    <w:p w14:paraId="5DD0A255" w14:textId="472841AA" w:rsidR="00506E2C" w:rsidRPr="00A225F0" w:rsidRDefault="00A225F0" w:rsidP="00A225F0">
      <w:pPr>
        <w:spacing w:line="240" w:lineRule="auto"/>
        <w:rPr>
          <w:color w:val="000000"/>
        </w:rPr>
      </w:pPr>
      <w:r>
        <w:rPr>
          <w:rFonts w:ascii="Arial" w:hAnsi="Arial" w:cs="Arial"/>
          <w:color w:val="000000"/>
          <w:bdr w:val="single" w:sz="8" w:space="0" w:color="B7B7B7" w:frame="1"/>
        </w:rPr>
        <w:lastRenderedPageBreak/>
        <w:fldChar w:fldCharType="begin"/>
      </w:r>
      <w:r>
        <w:rPr>
          <w:rFonts w:ascii="Arial" w:hAnsi="Arial" w:cs="Arial"/>
          <w:color w:val="000000"/>
          <w:bdr w:val="single" w:sz="8" w:space="0" w:color="B7B7B7" w:frame="1"/>
        </w:rPr>
        <w:instrText xml:space="preserve"> INCLUDEPICTURE "https://lh7-rt.googleusercontent.com/docsz/AD_4nXe44wUClRRA3DWfWgmMR6PR0Z79xGnIERFzANDy_fsKp3iyGmajP7jZjAeSoqQlQbyOV4HKKlEm61zVivVtDIRSd23wMKu4QPDiBhtJj06zWzhJcNg-I7ohSfx6j5S4q-UROCCauA?key=kquFsYbePK8hStlASDb98Twv" \* MERGEFORMATINET </w:instrText>
      </w:r>
      <w:r>
        <w:rPr>
          <w:rFonts w:ascii="Arial" w:hAnsi="Arial" w:cs="Arial"/>
          <w:color w:val="000000"/>
          <w:bdr w:val="single" w:sz="8" w:space="0" w:color="B7B7B7" w:frame="1"/>
        </w:rPr>
        <w:fldChar w:fldCharType="separate"/>
      </w:r>
      <w:r>
        <w:rPr>
          <w:rFonts w:ascii="Arial" w:hAnsi="Arial" w:cs="Arial"/>
          <w:noProof/>
          <w:color w:val="000000"/>
          <w:bdr w:val="single" w:sz="8" w:space="0" w:color="B7B7B7" w:frame="1"/>
        </w:rPr>
        <w:drawing>
          <wp:inline distT="0" distB="0" distL="0" distR="0" wp14:anchorId="7D950EF7" wp14:editId="18D18F38">
            <wp:extent cx="5943600" cy="2355850"/>
            <wp:effectExtent l="0" t="0" r="0" b="6350"/>
            <wp:docPr id="1558533152" name="Picture 1" descr="A diagram of a number of bacter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3152" name="Picture 1" descr="A diagram of a number of bacteria&#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r>
        <w:rPr>
          <w:rFonts w:ascii="Arial" w:hAnsi="Arial" w:cs="Arial"/>
          <w:color w:val="000000"/>
          <w:bdr w:val="single" w:sz="8" w:space="0" w:color="B7B7B7" w:frame="1"/>
        </w:rPr>
        <w:fldChar w:fldCharType="end"/>
      </w:r>
      <w:r w:rsidR="00506E2C" w:rsidRPr="00A54747">
        <w:rPr>
          <w:rFonts w:ascii="Times New Roman" w:hAnsi="Times New Roman"/>
          <w:b/>
          <w:bCs/>
        </w:rPr>
        <w:t>F</w:t>
      </w:r>
      <w:r w:rsidR="000409A1">
        <w:rPr>
          <w:rFonts w:ascii="Times New Roman" w:hAnsi="Times New Roman"/>
          <w:b/>
          <w:bCs/>
        </w:rPr>
        <w:t>igure</w:t>
      </w:r>
      <w:r w:rsidR="00506E2C" w:rsidRPr="00A54747">
        <w:rPr>
          <w:rFonts w:ascii="Times New Roman" w:hAnsi="Times New Roman"/>
          <w:b/>
          <w:bCs/>
        </w:rPr>
        <w:t>1</w:t>
      </w:r>
      <w:r w:rsidR="000409A1">
        <w:rPr>
          <w:rFonts w:ascii="Times New Roman" w:hAnsi="Times New Roman"/>
          <w:b/>
          <w:bCs/>
        </w:rPr>
        <w:t>.</w:t>
      </w:r>
      <w:r w:rsidR="00506E2C" w:rsidRPr="00A54747">
        <w:rPr>
          <w:rFonts w:ascii="Times New Roman" w:hAnsi="Times New Roman"/>
          <w:b/>
          <w:bCs/>
        </w:rPr>
        <w:t xml:space="preserve"> </w:t>
      </w:r>
      <w:r w:rsidR="00506E2C" w:rsidRPr="00506E2C">
        <w:rPr>
          <w:rFonts w:ascii="Times New Roman" w:hAnsi="Times New Roman"/>
          <w:color w:val="7F7F7F"/>
          <w:shd w:val="clear" w:color="auto" w:fill="FFFFFF"/>
        </w:rPr>
        <w:t xml:space="preserve">Phylogenetic analysis of </w:t>
      </w:r>
      <w:proofErr w:type="spellStart"/>
      <w:r w:rsidR="00506E2C" w:rsidRPr="00506E2C">
        <w:rPr>
          <w:rFonts w:ascii="Times New Roman" w:hAnsi="Times New Roman"/>
          <w:i/>
          <w:iCs/>
          <w:color w:val="7F7F7F"/>
        </w:rPr>
        <w:t>Intestinibacter</w:t>
      </w:r>
      <w:proofErr w:type="spellEnd"/>
      <w:r w:rsidR="00506E2C" w:rsidRPr="00506E2C">
        <w:rPr>
          <w:rFonts w:ascii="Times New Roman" w:hAnsi="Times New Roman"/>
          <w:i/>
          <w:iCs/>
          <w:color w:val="7F7F7F"/>
        </w:rPr>
        <w:t xml:space="preserve"> </w:t>
      </w:r>
      <w:proofErr w:type="spellStart"/>
      <w:r w:rsidR="00506E2C" w:rsidRPr="00506E2C">
        <w:rPr>
          <w:rFonts w:ascii="Times New Roman" w:hAnsi="Times New Roman"/>
          <w:i/>
          <w:iCs/>
          <w:color w:val="7F7F7F"/>
        </w:rPr>
        <w:t>bartletti</w:t>
      </w:r>
      <w:proofErr w:type="spellEnd"/>
      <w:r w:rsidR="00506E2C" w:rsidRPr="00506E2C">
        <w:rPr>
          <w:rFonts w:ascii="Times New Roman" w:hAnsi="Times New Roman"/>
          <w:i/>
          <w:iCs/>
          <w:color w:val="7F7F7F"/>
        </w:rPr>
        <w:t xml:space="preserve"> </w:t>
      </w:r>
      <w:r w:rsidR="00506E2C" w:rsidRPr="00506E2C">
        <w:rPr>
          <w:rFonts w:ascii="Times New Roman" w:hAnsi="Times New Roman"/>
          <w:color w:val="7F7F7F"/>
        </w:rPr>
        <w:t xml:space="preserve">DSM 16795 based on whole-genome comparisons. The genome BLAST distance phylogeny (GBDP) tree was constructed using the Type Strain Genome Server (TYGS) and inferred with </w:t>
      </w:r>
      <w:proofErr w:type="spellStart"/>
      <w:r w:rsidR="00506E2C" w:rsidRPr="00506E2C">
        <w:rPr>
          <w:rFonts w:ascii="Times New Roman" w:hAnsi="Times New Roman"/>
          <w:color w:val="7F7F7F"/>
        </w:rPr>
        <w:t>FastME</w:t>
      </w:r>
      <w:proofErr w:type="spellEnd"/>
      <w:r w:rsidR="00506E2C" w:rsidRPr="00506E2C">
        <w:rPr>
          <w:rFonts w:ascii="Times New Roman" w:hAnsi="Times New Roman"/>
          <w:color w:val="7F7F7F"/>
        </w:rPr>
        <w:t xml:space="preserve"> 2.</w:t>
      </w:r>
      <w:proofErr w:type="gramStart"/>
      <w:r w:rsidR="00060AC6" w:rsidRPr="00506E2C">
        <w:rPr>
          <w:rFonts w:ascii="Times New Roman" w:hAnsi="Times New Roman"/>
          <w:color w:val="7F7F7F"/>
        </w:rPr>
        <w:t>1.6..</w:t>
      </w:r>
      <w:proofErr w:type="gramEnd"/>
      <w:r w:rsidR="00506E2C" w:rsidRPr="00506E2C">
        <w:rPr>
          <w:rFonts w:ascii="Times New Roman" w:hAnsi="Times New Roman"/>
          <w:color w:val="7F7F7F"/>
        </w:rPr>
        <w:t xml:space="preserve"> Branch lengths are </w:t>
      </w:r>
      <w:proofErr w:type="spellStart"/>
      <w:r w:rsidR="00506E2C" w:rsidRPr="00506E2C">
        <w:rPr>
          <w:rFonts w:ascii="Times New Roman" w:hAnsi="Times New Roman"/>
          <w:color w:val="7F7F7F"/>
        </w:rPr>
        <w:t>scareled</w:t>
      </w:r>
      <w:proofErr w:type="spellEnd"/>
      <w:r w:rsidR="00506E2C" w:rsidRPr="00506E2C">
        <w:rPr>
          <w:rFonts w:ascii="Times New Roman" w:hAnsi="Times New Roman"/>
          <w:color w:val="7F7F7F"/>
        </w:rPr>
        <w:t xml:space="preserve"> according to the GBDP distance formula d₅. Bootstraps values (&gt;60%) from 100 replicates are indicated at the nodes, The tree was midpoint-rooted, with an average branch support of was 79.1%. </w:t>
      </w:r>
    </w:p>
    <w:p w14:paraId="1E1A0683" w14:textId="77777777" w:rsidR="00BB4213" w:rsidRDefault="00BB4213" w:rsidP="00506E2C">
      <w:pPr>
        <w:spacing w:line="240" w:lineRule="auto"/>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544"/>
      </w:tblGrid>
      <w:tr w:rsidR="00F31F86" w:rsidRPr="00F31F86" w14:paraId="104AE4B6" w14:textId="77777777" w:rsidTr="00F31F86">
        <w:trPr>
          <w:trHeight w:val="5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AAD4" w14:textId="77777777" w:rsidR="00F31F86" w:rsidRPr="00F31F86" w:rsidRDefault="00F31F86" w:rsidP="00F31F86">
            <w:pPr>
              <w:spacing w:after="0" w:line="480" w:lineRule="auto"/>
              <w:rPr>
                <w:rFonts w:ascii="Times New Roman" w:eastAsia="Times New Roman" w:hAnsi="Times New Roman"/>
                <w:sz w:val="24"/>
                <w:szCs w:val="24"/>
              </w:rPr>
            </w:pPr>
            <w:r w:rsidRPr="00F31F86">
              <w:rPr>
                <w:rFonts w:ascii="Montserrat" w:eastAsia="Times New Roman" w:hAnsi="Montserrat"/>
                <w:b/>
                <w:bCs/>
                <w:color w:val="000000"/>
              </w:rPr>
              <w:t>TABLE 2</w:t>
            </w:r>
            <w:r w:rsidRPr="00F31F86">
              <w:rPr>
                <w:rFonts w:ascii="Montserrat" w:eastAsia="Times New Roman" w:hAnsi="Montserrat"/>
                <w:b/>
                <w:bCs/>
                <w:color w:val="707070"/>
                <w:shd w:val="clear" w:color="auto" w:fill="FFFFFF"/>
              </w:rPr>
              <w:t xml:space="preserve"> </w:t>
            </w:r>
            <w:r w:rsidRPr="00F31F86">
              <w:rPr>
                <w:rFonts w:ascii="Times New Roman" w:eastAsia="Times New Roman" w:hAnsi="Times New Roman"/>
                <w:b/>
                <w:bCs/>
                <w:color w:val="999999"/>
                <w:shd w:val="clear" w:color="auto" w:fill="FFFFFF"/>
              </w:rPr>
              <w:t>Virulence factors found in the genom</w:t>
            </w:r>
            <w:bookmarkStart w:id="1" w:name="Table2"/>
            <w:bookmarkEnd w:id="1"/>
            <w:r w:rsidRPr="00F31F86">
              <w:rPr>
                <w:rFonts w:ascii="Times New Roman" w:eastAsia="Times New Roman" w:hAnsi="Times New Roman"/>
                <w:b/>
                <w:bCs/>
                <w:color w:val="999999"/>
                <w:shd w:val="clear" w:color="auto" w:fill="FFFFFF"/>
              </w:rPr>
              <w:t>e.</w:t>
            </w:r>
          </w:p>
          <w:tbl>
            <w:tblPr>
              <w:tblW w:w="0" w:type="auto"/>
              <w:tblCellMar>
                <w:top w:w="15" w:type="dxa"/>
                <w:left w:w="15" w:type="dxa"/>
                <w:bottom w:w="15" w:type="dxa"/>
                <w:right w:w="15" w:type="dxa"/>
              </w:tblCellMar>
              <w:tblLook w:val="04A0" w:firstRow="1" w:lastRow="0" w:firstColumn="1" w:lastColumn="0" w:noHBand="0" w:noVBand="1"/>
            </w:tblPr>
            <w:tblGrid>
              <w:gridCol w:w="1791"/>
              <w:gridCol w:w="3533"/>
            </w:tblGrid>
            <w:tr w:rsidR="00F31F86" w:rsidRPr="00F31F86" w14:paraId="540F5CD8" w14:textId="77777777">
              <w:tc>
                <w:tcPr>
                  <w:tcW w:w="0" w:type="auto"/>
                  <w:tcBorders>
                    <w:top w:val="single" w:sz="8" w:space="0" w:color="D9D9D9"/>
                    <w:left w:val="single" w:sz="8" w:space="0" w:color="D9D9D9"/>
                    <w:bottom w:val="single" w:sz="8" w:space="0" w:color="B7B7B7"/>
                    <w:right w:val="single" w:sz="8" w:space="0" w:color="D9D9D9"/>
                  </w:tcBorders>
                  <w:shd w:val="clear" w:color="auto" w:fill="EFEFEF"/>
                  <w:tcMar>
                    <w:top w:w="0" w:type="dxa"/>
                    <w:left w:w="100" w:type="dxa"/>
                    <w:bottom w:w="0" w:type="dxa"/>
                    <w:right w:w="100" w:type="dxa"/>
                  </w:tcMar>
                  <w:hideMark/>
                </w:tcPr>
                <w:p w14:paraId="42D14A3A" w14:textId="77777777" w:rsidR="00F31F86" w:rsidRPr="00F31F86" w:rsidRDefault="00F31F86" w:rsidP="00F31F86">
                  <w:pPr>
                    <w:spacing w:after="0" w:line="480" w:lineRule="auto"/>
                    <w:ind w:left="20"/>
                    <w:jc w:val="center"/>
                    <w:rPr>
                      <w:rFonts w:ascii="Times New Roman" w:eastAsia="Times New Roman" w:hAnsi="Times New Roman"/>
                      <w:sz w:val="24"/>
                      <w:szCs w:val="24"/>
                    </w:rPr>
                  </w:pPr>
                  <w:r w:rsidRPr="00F31F86">
                    <w:rPr>
                      <w:rFonts w:ascii="Montserrat" w:eastAsia="Times New Roman" w:hAnsi="Montserrat"/>
                      <w:b/>
                      <w:bCs/>
                      <w:color w:val="000000"/>
                      <w:sz w:val="24"/>
                      <w:szCs w:val="24"/>
                    </w:rPr>
                    <w:t>Gene</w:t>
                  </w:r>
                </w:p>
              </w:tc>
              <w:tc>
                <w:tcPr>
                  <w:tcW w:w="0" w:type="auto"/>
                  <w:tcBorders>
                    <w:top w:val="single" w:sz="8" w:space="0" w:color="D9D9D9"/>
                    <w:left w:val="single" w:sz="8" w:space="0" w:color="D9D9D9"/>
                    <w:bottom w:val="single" w:sz="8" w:space="0" w:color="B7B7B7"/>
                    <w:right w:val="single" w:sz="8" w:space="0" w:color="D9D9D9"/>
                  </w:tcBorders>
                  <w:shd w:val="clear" w:color="auto" w:fill="EFEFEF"/>
                  <w:tcMar>
                    <w:top w:w="0" w:type="dxa"/>
                    <w:left w:w="100" w:type="dxa"/>
                    <w:bottom w:w="0" w:type="dxa"/>
                    <w:right w:w="100" w:type="dxa"/>
                  </w:tcMar>
                  <w:hideMark/>
                </w:tcPr>
                <w:p w14:paraId="72196A49" w14:textId="77777777" w:rsidR="00F31F86" w:rsidRPr="00F31F86" w:rsidRDefault="00F31F86" w:rsidP="00F31F86">
                  <w:pPr>
                    <w:spacing w:after="0" w:line="480" w:lineRule="auto"/>
                    <w:ind w:left="20"/>
                    <w:jc w:val="center"/>
                    <w:rPr>
                      <w:rFonts w:ascii="Times New Roman" w:eastAsia="Times New Roman" w:hAnsi="Times New Roman"/>
                      <w:sz w:val="24"/>
                      <w:szCs w:val="24"/>
                    </w:rPr>
                  </w:pPr>
                  <w:r w:rsidRPr="00F31F86">
                    <w:rPr>
                      <w:rFonts w:ascii="Montserrat" w:eastAsia="Times New Roman" w:hAnsi="Montserrat"/>
                      <w:b/>
                      <w:bCs/>
                      <w:color w:val="000000"/>
                      <w:sz w:val="24"/>
                      <w:szCs w:val="24"/>
                    </w:rPr>
                    <w:t>Description</w:t>
                  </w:r>
                </w:p>
              </w:tc>
            </w:tr>
            <w:tr w:rsidR="00F31F86" w:rsidRPr="00F31F86" w14:paraId="71D0EFE5" w14:textId="77777777">
              <w:trPr>
                <w:trHeight w:val="495"/>
              </w:trPr>
              <w:tc>
                <w:tcPr>
                  <w:tcW w:w="0" w:type="auto"/>
                  <w:tcBorders>
                    <w:top w:val="single" w:sz="8"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6C699AB7"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espX6</w:t>
                  </w:r>
                </w:p>
              </w:tc>
              <w:tc>
                <w:tcPr>
                  <w:tcW w:w="0" w:type="auto"/>
                  <w:tcBorders>
                    <w:top w:val="single" w:sz="8" w:space="0" w:color="B7B7B7"/>
                    <w:left w:val="single" w:sz="4" w:space="0" w:color="B7B7B7"/>
                    <w:bottom w:val="single" w:sz="4" w:space="0" w:color="B7B7B7"/>
                  </w:tcBorders>
                  <w:tcMar>
                    <w:top w:w="100" w:type="dxa"/>
                    <w:left w:w="100" w:type="dxa"/>
                    <w:bottom w:w="100" w:type="dxa"/>
                    <w:right w:w="100" w:type="dxa"/>
                  </w:tcMar>
                  <w:hideMark/>
                </w:tcPr>
                <w:p w14:paraId="2A614CED"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Effector delivery system</w:t>
                  </w:r>
                </w:p>
              </w:tc>
            </w:tr>
            <w:tr w:rsidR="00F31F86" w:rsidRPr="00F31F86" w14:paraId="5963A231"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77900F30"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tufA</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6CA38CF6"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Adherence</w:t>
                  </w:r>
                </w:p>
              </w:tc>
            </w:tr>
            <w:tr w:rsidR="00F31F86" w:rsidRPr="00F31F86" w14:paraId="32B49615"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E521022"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lap</w:t>
                  </w:r>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D41DC7E"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Adherence</w:t>
                  </w:r>
                </w:p>
              </w:tc>
            </w:tr>
            <w:tr w:rsidR="00F31F86" w:rsidRPr="00F31F86" w14:paraId="754CDA37"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4EE61F8"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fbpA</w:t>
                  </w:r>
                  <w:proofErr w:type="spellEnd"/>
                  <w:r w:rsidRPr="00F31F86">
                    <w:rPr>
                      <w:rFonts w:ascii="Montserrat" w:eastAsia="Times New Roman" w:hAnsi="Montserrat"/>
                      <w:color w:val="000000"/>
                      <w:sz w:val="24"/>
                      <w:szCs w:val="24"/>
                    </w:rPr>
                    <w:t>/fbp68</w:t>
                  </w:r>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83145BA"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Adherence</w:t>
                  </w:r>
                </w:p>
              </w:tc>
            </w:tr>
            <w:tr w:rsidR="00F31F86" w:rsidRPr="00F31F86" w14:paraId="1743324F"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05C7488"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clpC</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5EF4553"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Stress survival</w:t>
                  </w:r>
                </w:p>
              </w:tc>
            </w:tr>
            <w:tr w:rsidR="00F31F86" w:rsidRPr="00F31F86" w14:paraId="52105475"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7EDBA2C"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bont</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460BE9AC"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Exotoxin</w:t>
                  </w:r>
                </w:p>
              </w:tc>
            </w:tr>
            <w:tr w:rsidR="00F31F86" w:rsidRPr="00F31F86" w14:paraId="4847B72E"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784F8B3"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capB</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345CFF5"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2E3BDC8E"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24B3D00"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cpsJ</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B6FE1F3"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66EACAAB"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498903AF"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lastRenderedPageBreak/>
                    <w:t>galE</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85F3115"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20417514"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86DEC5E"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capA</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C11C1B8"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4F487C42"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A3553D0"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FTT_RS04140</w:t>
                  </w:r>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3ADD1A58"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56B83FDC"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AD3C519"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Cj1138</w:t>
                  </w:r>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93D10BF"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7786D062"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7576B7E8"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Cj1136</w:t>
                  </w:r>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667A2914"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r w:rsidR="00F31F86" w:rsidRPr="00F31F86" w14:paraId="09517B9B"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9F543EE"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groEL</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13BAC66"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Adherence</w:t>
                  </w:r>
                </w:p>
              </w:tc>
            </w:tr>
            <w:tr w:rsidR="00F31F86" w:rsidRPr="00F31F86" w14:paraId="6A3FAE91"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5FFA5C7"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htpB</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B878D2D"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Adherence</w:t>
                  </w:r>
                </w:p>
              </w:tc>
            </w:tr>
            <w:tr w:rsidR="00F31F86" w:rsidRPr="00F31F86" w14:paraId="7BB113DB"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818EBDC"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clpC</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F1D2213"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Stress survival</w:t>
                  </w:r>
                </w:p>
              </w:tc>
            </w:tr>
            <w:tr w:rsidR="00F31F86" w:rsidRPr="00F31F86" w14:paraId="34858E72"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5353BA69"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carB</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4E231FBE"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Nutritional/Metabolic factor</w:t>
                  </w:r>
                </w:p>
              </w:tc>
            </w:tr>
            <w:tr w:rsidR="00F31F86" w:rsidRPr="00F31F86" w14:paraId="5481CCD8"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02B67DC4"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toxB</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2E036D38"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Exotoxin</w:t>
                  </w:r>
                </w:p>
              </w:tc>
            </w:tr>
            <w:tr w:rsidR="00F31F86" w:rsidRPr="00F31F86" w14:paraId="73DDE7F8" w14:textId="77777777">
              <w:trPr>
                <w:trHeight w:val="495"/>
              </w:trPr>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29C6099" w14:textId="77777777" w:rsidR="00F31F86" w:rsidRPr="00F31F86" w:rsidRDefault="00F31F86" w:rsidP="00F31F86">
                  <w:pPr>
                    <w:spacing w:after="0" w:line="240" w:lineRule="auto"/>
                    <w:rPr>
                      <w:rFonts w:ascii="Times New Roman" w:eastAsia="Times New Roman" w:hAnsi="Times New Roman"/>
                      <w:sz w:val="24"/>
                      <w:szCs w:val="24"/>
                    </w:rPr>
                  </w:pPr>
                  <w:proofErr w:type="spellStart"/>
                  <w:r w:rsidRPr="00F31F86">
                    <w:rPr>
                      <w:rFonts w:ascii="Montserrat" w:eastAsia="Times New Roman" w:hAnsi="Montserrat"/>
                      <w:color w:val="000000"/>
                      <w:sz w:val="24"/>
                      <w:szCs w:val="24"/>
                    </w:rPr>
                    <w:t>msbA</w:t>
                  </w:r>
                  <w:proofErr w:type="spellEnd"/>
                </w:p>
              </w:tc>
              <w:tc>
                <w:tcPr>
                  <w:tcW w:w="0" w:type="auto"/>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hideMark/>
                </w:tcPr>
                <w:p w14:paraId="1432972A" w14:textId="77777777" w:rsidR="00F31F86" w:rsidRPr="00F31F86" w:rsidRDefault="00F31F86" w:rsidP="00F31F86">
                  <w:pPr>
                    <w:spacing w:after="0" w:line="240" w:lineRule="auto"/>
                    <w:rPr>
                      <w:rFonts w:ascii="Times New Roman" w:eastAsia="Times New Roman" w:hAnsi="Times New Roman"/>
                      <w:sz w:val="24"/>
                      <w:szCs w:val="24"/>
                    </w:rPr>
                  </w:pPr>
                  <w:r w:rsidRPr="00F31F86">
                    <w:rPr>
                      <w:rFonts w:ascii="Montserrat" w:eastAsia="Times New Roman" w:hAnsi="Montserrat"/>
                      <w:color w:val="000000"/>
                      <w:sz w:val="24"/>
                      <w:szCs w:val="24"/>
                    </w:rPr>
                    <w:t>Immune modulation</w:t>
                  </w:r>
                </w:p>
              </w:tc>
            </w:tr>
          </w:tbl>
          <w:p w14:paraId="2318FA66" w14:textId="77777777" w:rsidR="00F31F86" w:rsidRPr="00F31F86" w:rsidRDefault="00F31F86" w:rsidP="00F31F86">
            <w:pPr>
              <w:spacing w:after="0" w:line="240" w:lineRule="auto"/>
              <w:rPr>
                <w:rFonts w:ascii="Times New Roman" w:eastAsia="Times New Roman" w:hAnsi="Times New Roman"/>
                <w:sz w:val="24"/>
                <w:szCs w:val="24"/>
              </w:rPr>
            </w:pPr>
          </w:p>
        </w:tc>
      </w:tr>
    </w:tbl>
    <w:p w14:paraId="2566F5AA" w14:textId="77777777" w:rsidR="00F31F86" w:rsidRPr="00506E2C" w:rsidRDefault="00F31F86" w:rsidP="00506E2C">
      <w:pPr>
        <w:spacing w:line="240" w:lineRule="auto"/>
        <w:rPr>
          <w:color w:val="000000"/>
        </w:rPr>
      </w:pPr>
    </w:p>
    <w:p w14:paraId="2EBF78B3" w14:textId="77777777" w:rsidR="00035492" w:rsidRPr="00E03B48" w:rsidRDefault="00035492" w:rsidP="00035492">
      <w:pPr>
        <w:pStyle w:val="NormalWeb"/>
        <w:spacing w:before="240" w:beforeAutospacing="0" w:after="240" w:afterAutospacing="0"/>
        <w:rPr>
          <w:rFonts w:ascii="Calibri" w:hAnsi="Calibri" w:cs="Calibri"/>
        </w:rPr>
      </w:pPr>
      <w:r w:rsidRPr="00E03B48">
        <w:rPr>
          <w:rFonts w:ascii="Calibri" w:hAnsi="Calibri" w:cs="Calibri"/>
          <w:b/>
          <w:bCs/>
          <w:color w:val="000000"/>
          <w:sz w:val="28"/>
          <w:szCs w:val="28"/>
        </w:rPr>
        <w:t>Data availability statement</w:t>
      </w:r>
    </w:p>
    <w:p w14:paraId="3915F195" w14:textId="77777777" w:rsidR="00202FC6" w:rsidRPr="007A53DB" w:rsidRDefault="00202FC6" w:rsidP="00202FC6">
      <w:pPr>
        <w:spacing w:after="0" w:line="240" w:lineRule="auto"/>
        <w:rPr>
          <w:rFonts w:cs="Calibri"/>
          <w:color w:val="000000"/>
          <w:sz w:val="24"/>
          <w:szCs w:val="24"/>
        </w:rPr>
      </w:pPr>
      <w:r w:rsidRPr="00E03B48">
        <w:rPr>
          <w:rFonts w:cs="Calibri"/>
          <w:color w:val="000000"/>
          <w:sz w:val="24"/>
          <w:szCs w:val="24"/>
        </w:rPr>
        <w:t>The genome sequence for</w:t>
      </w:r>
      <w:r w:rsidRPr="00E03B48">
        <w:rPr>
          <w:rStyle w:val="apple-converted-space"/>
          <w:rFonts w:cs="Calibri"/>
          <w:color w:val="000000"/>
          <w:sz w:val="24"/>
          <w:szCs w:val="24"/>
        </w:rPr>
        <w:t> </w:t>
      </w:r>
      <w:proofErr w:type="spellStart"/>
      <w:r w:rsidRPr="00E03B48">
        <w:rPr>
          <w:rStyle w:val="Emphasis"/>
          <w:rFonts w:cs="Calibri"/>
          <w:color w:val="000000"/>
          <w:sz w:val="24"/>
          <w:szCs w:val="24"/>
        </w:rPr>
        <w:t>Intestinibacter</w:t>
      </w:r>
      <w:proofErr w:type="spellEnd"/>
      <w:r w:rsidRPr="00E03B48">
        <w:rPr>
          <w:rStyle w:val="Emphasis"/>
          <w:rFonts w:cs="Calibri"/>
          <w:color w:val="000000"/>
          <w:sz w:val="24"/>
          <w:szCs w:val="24"/>
        </w:rPr>
        <w:t xml:space="preserve"> </w:t>
      </w:r>
      <w:proofErr w:type="spellStart"/>
      <w:r w:rsidRPr="00E03B48">
        <w:rPr>
          <w:rStyle w:val="Emphasis"/>
          <w:rFonts w:cs="Calibri"/>
          <w:color w:val="000000"/>
          <w:sz w:val="24"/>
          <w:szCs w:val="24"/>
        </w:rPr>
        <w:t>bartletti</w:t>
      </w:r>
      <w:proofErr w:type="spellEnd"/>
      <w:r w:rsidRPr="00E03B48">
        <w:rPr>
          <w:rStyle w:val="apple-converted-space"/>
          <w:rFonts w:cs="Calibri"/>
          <w:color w:val="000000"/>
          <w:sz w:val="24"/>
          <w:szCs w:val="24"/>
        </w:rPr>
        <w:t> </w:t>
      </w:r>
      <w:r w:rsidRPr="00E03B48">
        <w:rPr>
          <w:rFonts w:cs="Calibri"/>
          <w:color w:val="000000"/>
          <w:sz w:val="24"/>
          <w:szCs w:val="24"/>
        </w:rPr>
        <w:t xml:space="preserve">DSM 16795 is available in GenBank under accession </w:t>
      </w:r>
      <w:r w:rsidRPr="00E03B48">
        <w:rPr>
          <w:rFonts w:cs="Calibri"/>
          <w:color w:val="000000" w:themeColor="text1"/>
          <w:sz w:val="24"/>
          <w:szCs w:val="24"/>
        </w:rPr>
        <w:t>number</w:t>
      </w:r>
      <w:r w:rsidRPr="00E03B48">
        <w:rPr>
          <w:rStyle w:val="apple-converted-space"/>
          <w:rFonts w:cs="Calibri"/>
          <w:color w:val="000000" w:themeColor="text1"/>
          <w:sz w:val="24"/>
          <w:szCs w:val="24"/>
        </w:rPr>
        <w:t> </w:t>
      </w:r>
      <w:hyperlink r:id="rId10" w:tgtFrame="_new" w:history="1">
        <w:r w:rsidRPr="00E03B48">
          <w:rPr>
            <w:rStyle w:val="Hyperlink"/>
            <w:rFonts w:cs="Calibri"/>
            <w:color w:val="000000" w:themeColor="text1"/>
            <w:sz w:val="24"/>
            <w:szCs w:val="24"/>
          </w:rPr>
          <w:t>DS499552.1</w:t>
        </w:r>
      </w:hyperlink>
      <w:r w:rsidRPr="00E03B48">
        <w:rPr>
          <w:rFonts w:cs="Calibri"/>
          <w:color w:val="000000" w:themeColor="text1"/>
          <w:sz w:val="24"/>
          <w:szCs w:val="24"/>
        </w:rPr>
        <w:t>.</w:t>
      </w:r>
      <w:r w:rsidRPr="00E03B48">
        <w:rPr>
          <w:rStyle w:val="apple-converted-space"/>
          <w:rFonts w:cs="Calibri"/>
          <w:color w:val="000000" w:themeColor="text1"/>
          <w:sz w:val="24"/>
          <w:szCs w:val="24"/>
        </w:rPr>
        <w:t> </w:t>
      </w:r>
      <w:r w:rsidRPr="00E03B48">
        <w:rPr>
          <w:rFonts w:cs="Calibri"/>
          <w:color w:val="000000"/>
          <w:sz w:val="24"/>
          <w:szCs w:val="24"/>
        </w:rPr>
        <w:t>Raw sequencing reads have been submitted to the NCBI Sequence Read Archive (SRA) under accession number</w:t>
      </w:r>
      <w:r w:rsidRPr="00E03B48">
        <w:rPr>
          <w:rStyle w:val="apple-converted-space"/>
          <w:rFonts w:cs="Calibri"/>
          <w:color w:val="000000"/>
          <w:sz w:val="24"/>
          <w:szCs w:val="24"/>
        </w:rPr>
        <w:t> </w:t>
      </w:r>
      <w:hyperlink r:id="rId11" w:tgtFrame="_new" w:history="1">
        <w:r w:rsidRPr="00E03B48">
          <w:rPr>
            <w:rStyle w:val="Hyperlink"/>
            <w:rFonts w:cs="Calibri"/>
            <w:color w:val="000000"/>
            <w:sz w:val="24"/>
            <w:szCs w:val="24"/>
          </w:rPr>
          <w:t>SRX2066076</w:t>
        </w:r>
      </w:hyperlink>
      <w:r w:rsidRPr="00E03B48">
        <w:rPr>
          <w:rFonts w:cs="Calibri"/>
          <w:color w:val="000000"/>
          <w:sz w:val="24"/>
          <w:szCs w:val="24"/>
        </w:rPr>
        <w:t>. Further genomic data can be accessed through the Integrated Microbial Genomes with Microbiomes (IMG/M) system hosted by JGI using taxon ID</w:t>
      </w:r>
      <w:r w:rsidRPr="00E03B48">
        <w:rPr>
          <w:rStyle w:val="apple-converted-space"/>
          <w:rFonts w:cs="Calibri"/>
          <w:color w:val="000000"/>
          <w:sz w:val="24"/>
          <w:szCs w:val="24"/>
        </w:rPr>
        <w:t> </w:t>
      </w:r>
      <w:hyperlink r:id="rId12" w:tgtFrame="_new" w:history="1">
        <w:r w:rsidRPr="00E03B48">
          <w:rPr>
            <w:rStyle w:val="Hyperlink"/>
            <w:rFonts w:cs="Calibri"/>
            <w:color w:val="000000"/>
            <w:sz w:val="24"/>
            <w:szCs w:val="24"/>
          </w:rPr>
          <w:t>641736113</w:t>
        </w:r>
      </w:hyperlink>
      <w:r w:rsidRPr="00E03B48">
        <w:rPr>
          <w:rFonts w:cs="Calibri"/>
          <w:color w:val="000000"/>
          <w:sz w:val="24"/>
          <w:szCs w:val="24"/>
        </w:rPr>
        <w:t>.</w:t>
      </w:r>
    </w:p>
    <w:p w14:paraId="2405D8FE" w14:textId="77777777" w:rsidR="00035492" w:rsidRPr="00341648" w:rsidRDefault="00035492" w:rsidP="00035492">
      <w:pPr>
        <w:pStyle w:val="NormalWeb"/>
        <w:spacing w:before="240" w:beforeAutospacing="0" w:after="240" w:afterAutospacing="0"/>
        <w:rPr>
          <w:rFonts w:ascii="Calibri" w:hAnsi="Calibri" w:cs="Calibri"/>
        </w:rPr>
      </w:pPr>
      <w:r w:rsidRPr="00341648">
        <w:rPr>
          <w:rFonts w:ascii="Calibri" w:hAnsi="Calibri" w:cs="Calibri"/>
          <w:b/>
          <w:bCs/>
          <w:color w:val="000000"/>
          <w:sz w:val="28"/>
          <w:szCs w:val="28"/>
        </w:rPr>
        <w:t>Acknowledgments</w:t>
      </w:r>
    </w:p>
    <w:p w14:paraId="6ADF462E" w14:textId="17E49237" w:rsidR="00341648" w:rsidRPr="00E03B48" w:rsidRDefault="00341648" w:rsidP="00341648">
      <w:pPr>
        <w:rPr>
          <w:rFonts w:cs="Calibri"/>
          <w:color w:val="000000"/>
          <w:sz w:val="24"/>
          <w:szCs w:val="24"/>
        </w:rPr>
      </w:pPr>
      <w:r w:rsidRPr="00E03B48">
        <w:rPr>
          <w:rFonts w:cs="Calibri"/>
          <w:color w:val="000000"/>
          <w:sz w:val="24"/>
          <w:szCs w:val="24"/>
        </w:rPr>
        <w:t>We thank JGI for supporting student participation in the “Adopt-a-Genome” project and for including institutions within the California State University (CSU) system, which are not classified as R1 research universities. This opportunity allowed undergraduates to engage in genome analysis and scientific writing.</w:t>
      </w:r>
    </w:p>
    <w:p w14:paraId="1280DDFF" w14:textId="0E52094B" w:rsidR="0079698B" w:rsidRPr="0079698B" w:rsidRDefault="00A80C63" w:rsidP="0079698B">
      <w:pPr>
        <w:spacing w:after="0" w:line="240" w:lineRule="auto"/>
        <w:rPr>
          <w:rFonts w:cs="Calibri"/>
          <w:color w:val="000000"/>
          <w:sz w:val="24"/>
          <w:szCs w:val="24"/>
        </w:rPr>
      </w:pPr>
      <w:r w:rsidRPr="00E03B48">
        <w:rPr>
          <w:rFonts w:cs="Calibri"/>
          <w:color w:val="000000"/>
          <w:sz w:val="24"/>
          <w:szCs w:val="24"/>
        </w:rPr>
        <w:lastRenderedPageBreak/>
        <w:t>The work (proposal DOI[]:xxx) conducted by the U.S. Department of Energy Joint Genome Institute (</w:t>
      </w:r>
      <w:hyperlink r:id="rId13" w:tgtFrame="_new" w:history="1">
        <w:r w:rsidRPr="00E03B48">
          <w:rPr>
            <w:rStyle w:val="Hyperlink"/>
            <w:rFonts w:cs="Calibri"/>
            <w:sz w:val="24"/>
            <w:szCs w:val="24"/>
          </w:rPr>
          <w:t>https://ror.org/04xm1d337</w:t>
        </w:r>
      </w:hyperlink>
      <w:r w:rsidRPr="00E03B48">
        <w:rPr>
          <w:rFonts w:cs="Calibri"/>
          <w:color w:val="000000"/>
          <w:sz w:val="24"/>
          <w:szCs w:val="24"/>
        </w:rPr>
        <w:t>), a DOE Office of Science User Facility, is supported by the Office of Science of the U.S. Department of Energy operated under contract no. DE-AC02-05CH11231.</w:t>
      </w:r>
    </w:p>
    <w:p w14:paraId="47FF7663" w14:textId="73E707D0" w:rsidR="00035492" w:rsidRPr="00341648" w:rsidRDefault="00035492" w:rsidP="00035492">
      <w:pPr>
        <w:pStyle w:val="NormalWeb"/>
        <w:spacing w:before="240" w:beforeAutospacing="0" w:after="240" w:afterAutospacing="0"/>
        <w:rPr>
          <w:rFonts w:ascii="Calibri" w:hAnsi="Calibri" w:cs="Calibri"/>
        </w:rPr>
      </w:pPr>
      <w:r w:rsidRPr="00341648">
        <w:rPr>
          <w:rFonts w:ascii="Calibri" w:hAnsi="Calibri" w:cs="Calibri"/>
          <w:i/>
          <w:iCs/>
          <w:color w:val="000000"/>
          <w:sz w:val="22"/>
          <w:szCs w:val="22"/>
        </w:rPr>
        <w:t> </w:t>
      </w:r>
      <w:r w:rsidRPr="00341648">
        <w:rPr>
          <w:rFonts w:ascii="Calibri" w:hAnsi="Calibri" w:cs="Calibri"/>
          <w:b/>
          <w:bCs/>
          <w:color w:val="000000"/>
          <w:sz w:val="28"/>
          <w:szCs w:val="28"/>
        </w:rPr>
        <w:t>References</w:t>
      </w:r>
    </w:p>
    <w:p w14:paraId="1F87ECC2"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w:t>
      </w:r>
      <w:r w:rsidRPr="00D33B43">
        <w:rPr>
          <w:rStyle w:val="apple-converted-space"/>
          <w:rFonts w:eastAsia="Times New Roman"/>
          <w:color w:val="000000"/>
        </w:rPr>
        <w:t xml:space="preserve">  </w:t>
      </w:r>
      <w:r w:rsidRPr="00D33B43">
        <w:rPr>
          <w:color w:val="000000"/>
        </w:rPr>
        <w:t xml:space="preserve">Finegold, S. M., </w:t>
      </w:r>
      <w:proofErr w:type="spellStart"/>
      <w:r w:rsidRPr="00D33B43">
        <w:rPr>
          <w:color w:val="000000"/>
        </w:rPr>
        <w:t>Molitoris</w:t>
      </w:r>
      <w:proofErr w:type="spellEnd"/>
      <w:r w:rsidRPr="00D33B43">
        <w:rPr>
          <w:color w:val="000000"/>
        </w:rPr>
        <w:t xml:space="preserve">, D., Song, Y., Liu, C., </w:t>
      </w:r>
      <w:proofErr w:type="spellStart"/>
      <w:r w:rsidRPr="00D33B43">
        <w:rPr>
          <w:color w:val="000000"/>
        </w:rPr>
        <w:t>Vaisanen</w:t>
      </w:r>
      <w:proofErr w:type="spellEnd"/>
      <w:r w:rsidRPr="00D33B43">
        <w:rPr>
          <w:color w:val="000000"/>
        </w:rPr>
        <w:t xml:space="preserve">, M. L., Bolte, E., McTeague, M., Sander, R., Wexler, H., Marlowe, E. M., Collins, M. D., Lawson, P. A., </w:t>
      </w:r>
      <w:proofErr w:type="spellStart"/>
      <w:r w:rsidRPr="00D33B43">
        <w:rPr>
          <w:color w:val="000000"/>
        </w:rPr>
        <w:t>Summanen</w:t>
      </w:r>
      <w:proofErr w:type="spellEnd"/>
      <w:r w:rsidRPr="00D33B43">
        <w:rPr>
          <w:color w:val="000000"/>
        </w:rPr>
        <w:t xml:space="preserve">, P., </w:t>
      </w:r>
      <w:proofErr w:type="spellStart"/>
      <w:r w:rsidRPr="00D33B43">
        <w:rPr>
          <w:color w:val="000000"/>
        </w:rPr>
        <w:t>Baysallar</w:t>
      </w:r>
      <w:proofErr w:type="spellEnd"/>
      <w:r w:rsidRPr="00D33B43">
        <w:rPr>
          <w:color w:val="000000"/>
        </w:rPr>
        <w:t xml:space="preserve">, M., </w:t>
      </w:r>
      <w:proofErr w:type="spellStart"/>
      <w:r w:rsidRPr="00D33B43">
        <w:rPr>
          <w:color w:val="000000"/>
        </w:rPr>
        <w:t>Tomzyski</w:t>
      </w:r>
      <w:proofErr w:type="spellEnd"/>
      <w:r w:rsidRPr="00D33B43">
        <w:rPr>
          <w:color w:val="000000"/>
        </w:rPr>
        <w:t>, T. J., Read, E., Johnson, E., Rolfe, R., Nasir, P., Shah, H., Haake, D. A., Manning, P., &amp; Kaul, A. (2002).</w:t>
      </w:r>
      <w:r w:rsidRPr="00D33B43">
        <w:rPr>
          <w:rStyle w:val="apple-converted-space"/>
          <w:rFonts w:eastAsia="Times New Roman"/>
          <w:color w:val="000000"/>
        </w:rPr>
        <w:t> </w:t>
      </w:r>
      <w:r w:rsidRPr="00D33B43">
        <w:rPr>
          <w:rStyle w:val="Emphasis"/>
          <w:rFonts w:eastAsia="Times New Roman"/>
          <w:color w:val="000000"/>
        </w:rPr>
        <w:t>Clinical Infectious Diseases, 35</w:t>
      </w:r>
      <w:r w:rsidRPr="00D33B43">
        <w:rPr>
          <w:color w:val="000000"/>
        </w:rPr>
        <w:t>(Supplement_1), S6–S16.</w:t>
      </w:r>
      <w:r w:rsidRPr="00D33B43">
        <w:rPr>
          <w:rStyle w:val="apple-converted-space"/>
          <w:rFonts w:eastAsia="Times New Roman"/>
          <w:color w:val="000000"/>
        </w:rPr>
        <w:t> </w:t>
      </w:r>
      <w:r w:rsidRPr="00D33B43">
        <w:rPr>
          <w:color w:val="000000"/>
        </w:rPr>
        <w:t>https://doi.org/10.1086/341914</w:t>
      </w:r>
    </w:p>
    <w:p w14:paraId="3C9293A3"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2.</w:t>
      </w:r>
      <w:r w:rsidRPr="00D33B43">
        <w:rPr>
          <w:rStyle w:val="apple-converted-space"/>
          <w:rFonts w:eastAsia="Times New Roman"/>
          <w:color w:val="000000"/>
        </w:rPr>
        <w:t xml:space="preserve">  </w:t>
      </w:r>
      <w:r w:rsidRPr="00D33B43">
        <w:rPr>
          <w:color w:val="000000"/>
        </w:rPr>
        <w:t xml:space="preserve">Song, Y. L., Liu, C. X., McTeague, M., </w:t>
      </w:r>
      <w:proofErr w:type="spellStart"/>
      <w:r w:rsidRPr="00D33B43">
        <w:rPr>
          <w:color w:val="000000"/>
        </w:rPr>
        <w:t>Summanen</w:t>
      </w:r>
      <w:proofErr w:type="spellEnd"/>
      <w:r w:rsidRPr="00D33B43">
        <w:rPr>
          <w:color w:val="000000"/>
        </w:rPr>
        <w:t>, P., &amp; Finegold, S. M. (2004).</w:t>
      </w:r>
      <w:r w:rsidRPr="00D33B43">
        <w:rPr>
          <w:rStyle w:val="apple-converted-space"/>
          <w:rFonts w:eastAsia="Times New Roman"/>
          <w:color w:val="000000"/>
        </w:rPr>
        <w:t> </w:t>
      </w:r>
      <w:r w:rsidRPr="00D33B43">
        <w:rPr>
          <w:rStyle w:val="Emphasis"/>
          <w:rFonts w:eastAsia="Times New Roman"/>
          <w:color w:val="000000"/>
        </w:rPr>
        <w:t>Anaerobe, 10</w:t>
      </w:r>
      <w:r w:rsidRPr="00D33B43">
        <w:rPr>
          <w:color w:val="000000"/>
        </w:rPr>
        <w:t>(3), 179–184.</w:t>
      </w:r>
      <w:r w:rsidRPr="00D33B43">
        <w:rPr>
          <w:rStyle w:val="apple-converted-space"/>
          <w:rFonts w:eastAsia="Times New Roman"/>
          <w:color w:val="000000"/>
        </w:rPr>
        <w:t> </w:t>
      </w:r>
      <w:hyperlink r:id="rId14" w:tgtFrame="_new" w:history="1">
        <w:r w:rsidRPr="00D33B43">
          <w:rPr>
            <w:rStyle w:val="Hyperlink"/>
            <w:rFonts w:eastAsia="Times New Roman"/>
            <w:color w:val="000000"/>
          </w:rPr>
          <w:t>https://doi.org/10.1016/j.anaerobe.2004.06.004</w:t>
        </w:r>
      </w:hyperlink>
    </w:p>
    <w:p w14:paraId="5E36A0CA"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3.</w:t>
      </w:r>
      <w:r w:rsidRPr="00D33B43">
        <w:rPr>
          <w:rStyle w:val="apple-converted-space"/>
          <w:rFonts w:eastAsia="Times New Roman"/>
          <w:color w:val="000000"/>
        </w:rPr>
        <w:t xml:space="preserve">  </w:t>
      </w:r>
      <w:r w:rsidRPr="00D33B43">
        <w:rPr>
          <w:color w:val="000000"/>
        </w:rPr>
        <w:t xml:space="preserve">Gerritsen, J., Fuentes, S., </w:t>
      </w:r>
      <w:proofErr w:type="spellStart"/>
      <w:r w:rsidRPr="00D33B43">
        <w:rPr>
          <w:color w:val="000000"/>
        </w:rPr>
        <w:t>Grievink</w:t>
      </w:r>
      <w:proofErr w:type="spellEnd"/>
      <w:r w:rsidRPr="00D33B43">
        <w:rPr>
          <w:color w:val="000000"/>
        </w:rPr>
        <w:t xml:space="preserve">, W., van </w:t>
      </w:r>
      <w:proofErr w:type="spellStart"/>
      <w:r w:rsidRPr="00D33B43">
        <w:rPr>
          <w:color w:val="000000"/>
        </w:rPr>
        <w:t>Niftrik</w:t>
      </w:r>
      <w:proofErr w:type="spellEnd"/>
      <w:r w:rsidRPr="00D33B43">
        <w:rPr>
          <w:color w:val="000000"/>
        </w:rPr>
        <w:t xml:space="preserve">, L., Tindall, B. J., Timmerman, H. M., </w:t>
      </w:r>
      <w:proofErr w:type="spellStart"/>
      <w:r w:rsidRPr="00D33B43">
        <w:rPr>
          <w:color w:val="000000"/>
        </w:rPr>
        <w:t>Rijkers</w:t>
      </w:r>
      <w:proofErr w:type="spellEnd"/>
      <w:r w:rsidRPr="00D33B43">
        <w:rPr>
          <w:color w:val="000000"/>
        </w:rPr>
        <w:t>, G. T., &amp; Smidt, H. (2014).</w:t>
      </w:r>
      <w:r w:rsidRPr="00D33B43">
        <w:rPr>
          <w:rStyle w:val="apple-converted-space"/>
          <w:rFonts w:eastAsia="Times New Roman"/>
          <w:color w:val="000000"/>
        </w:rPr>
        <w:t> </w:t>
      </w:r>
      <w:r w:rsidRPr="00D33B43">
        <w:rPr>
          <w:rStyle w:val="Emphasis"/>
          <w:rFonts w:eastAsia="Times New Roman"/>
          <w:color w:val="000000"/>
        </w:rPr>
        <w:t>International Journal of Systematic and Evolutionary Microbiology, 64</w:t>
      </w:r>
      <w:r w:rsidRPr="00D33B43">
        <w:rPr>
          <w:color w:val="000000"/>
        </w:rPr>
        <w:t>(Pt_5), 1600–1616.</w:t>
      </w:r>
      <w:r w:rsidRPr="00D33B43">
        <w:rPr>
          <w:rStyle w:val="apple-converted-space"/>
          <w:rFonts w:eastAsia="Times New Roman"/>
          <w:color w:val="000000"/>
        </w:rPr>
        <w:t> </w:t>
      </w:r>
      <w:hyperlink r:id="rId15" w:tgtFrame="_new" w:history="1">
        <w:r w:rsidRPr="00D33B43">
          <w:rPr>
            <w:rStyle w:val="Hyperlink"/>
            <w:rFonts w:eastAsia="Times New Roman"/>
            <w:color w:val="000000"/>
          </w:rPr>
          <w:t>https://doi.org/10.1099/ijs.0.059447-0</w:t>
        </w:r>
      </w:hyperlink>
    </w:p>
    <w:p w14:paraId="70C357A5"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4.</w:t>
      </w:r>
      <w:r w:rsidRPr="00D33B43">
        <w:rPr>
          <w:rStyle w:val="apple-converted-space"/>
          <w:rFonts w:eastAsia="Times New Roman"/>
          <w:color w:val="000000"/>
        </w:rPr>
        <w:t xml:space="preserve">  </w:t>
      </w:r>
      <w:proofErr w:type="spellStart"/>
      <w:r w:rsidRPr="00D33B43">
        <w:rPr>
          <w:color w:val="000000"/>
        </w:rPr>
        <w:t>Kyrpides</w:t>
      </w:r>
      <w:proofErr w:type="spellEnd"/>
      <w:r w:rsidRPr="00D33B43">
        <w:rPr>
          <w:color w:val="000000"/>
        </w:rPr>
        <w:t xml:space="preserve">, N. C., </w:t>
      </w:r>
      <w:proofErr w:type="spellStart"/>
      <w:r w:rsidRPr="00D33B43">
        <w:rPr>
          <w:color w:val="000000"/>
        </w:rPr>
        <w:t>Woyke</w:t>
      </w:r>
      <w:proofErr w:type="spellEnd"/>
      <w:r w:rsidRPr="00D33B43">
        <w:rPr>
          <w:color w:val="000000"/>
        </w:rPr>
        <w:t xml:space="preserve">, T., Eisen, J. A., Garrity, G., Lilburn, T. G., Beck, B. J., Whitman, W. B., </w:t>
      </w:r>
      <w:proofErr w:type="spellStart"/>
      <w:r w:rsidRPr="00D33B43">
        <w:rPr>
          <w:color w:val="000000"/>
        </w:rPr>
        <w:t>Hugenholtz</w:t>
      </w:r>
      <w:proofErr w:type="spellEnd"/>
      <w:r w:rsidRPr="00D33B43">
        <w:rPr>
          <w:color w:val="000000"/>
        </w:rPr>
        <w:t>, P., &amp; Klenk, H. P. (2014).</w:t>
      </w:r>
      <w:r w:rsidRPr="00D33B43">
        <w:rPr>
          <w:rStyle w:val="apple-converted-space"/>
          <w:rFonts w:eastAsia="Times New Roman"/>
          <w:color w:val="000000"/>
        </w:rPr>
        <w:t> </w:t>
      </w:r>
      <w:r w:rsidRPr="00D33B43">
        <w:rPr>
          <w:rStyle w:val="Emphasis"/>
          <w:rFonts w:eastAsia="Times New Roman"/>
          <w:color w:val="000000"/>
        </w:rPr>
        <w:t>Standards in Genomic Sciences, 9</w:t>
      </w:r>
      <w:r w:rsidRPr="00D33B43">
        <w:rPr>
          <w:color w:val="000000"/>
        </w:rPr>
        <w:t>, 1278–1284.</w:t>
      </w:r>
      <w:r w:rsidRPr="00D33B43">
        <w:rPr>
          <w:rStyle w:val="apple-converted-space"/>
          <w:rFonts w:eastAsia="Times New Roman"/>
          <w:color w:val="000000"/>
        </w:rPr>
        <w:t> </w:t>
      </w:r>
      <w:r w:rsidRPr="00D33B43">
        <w:rPr>
          <w:color w:val="000000"/>
        </w:rPr>
        <w:t>https://doi.org/10.1186/1944-3277-9-1278</w:t>
      </w:r>
    </w:p>
    <w:p w14:paraId="11065539"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5.</w:t>
      </w:r>
      <w:r w:rsidRPr="00D33B43">
        <w:rPr>
          <w:rStyle w:val="apple-converted-space"/>
          <w:rFonts w:eastAsia="Times New Roman"/>
          <w:color w:val="000000"/>
        </w:rPr>
        <w:t xml:space="preserve">  </w:t>
      </w:r>
      <w:proofErr w:type="spellStart"/>
      <w:r w:rsidRPr="00D33B43">
        <w:rPr>
          <w:color w:val="000000"/>
        </w:rPr>
        <w:t>Mingkun</w:t>
      </w:r>
      <w:proofErr w:type="spellEnd"/>
      <w:r w:rsidRPr="00D33B43">
        <w:rPr>
          <w:color w:val="000000"/>
        </w:rPr>
        <w:t>, L., Copeland, A., &amp; Han, J. DUK. (2011). Unpublished.</w:t>
      </w:r>
    </w:p>
    <w:p w14:paraId="3B001DFC"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6.</w:t>
      </w:r>
      <w:r w:rsidRPr="00D33B43">
        <w:rPr>
          <w:rStyle w:val="apple-converted-space"/>
          <w:rFonts w:eastAsia="Times New Roman"/>
          <w:color w:val="000000"/>
        </w:rPr>
        <w:t xml:space="preserve">  </w:t>
      </w:r>
      <w:proofErr w:type="spellStart"/>
      <w:r w:rsidRPr="00D33B43">
        <w:rPr>
          <w:color w:val="000000"/>
        </w:rPr>
        <w:t>Zerbino</w:t>
      </w:r>
      <w:proofErr w:type="spellEnd"/>
      <w:r w:rsidRPr="00D33B43">
        <w:rPr>
          <w:color w:val="000000"/>
        </w:rPr>
        <w:t>, D., &amp; Birney, E. (2008).</w:t>
      </w:r>
      <w:r w:rsidRPr="00D33B43">
        <w:rPr>
          <w:rStyle w:val="apple-converted-space"/>
          <w:rFonts w:eastAsia="Times New Roman"/>
          <w:color w:val="000000"/>
        </w:rPr>
        <w:t> </w:t>
      </w:r>
      <w:r w:rsidRPr="00D33B43">
        <w:rPr>
          <w:rStyle w:val="Emphasis"/>
          <w:rFonts w:eastAsia="Times New Roman"/>
          <w:color w:val="000000"/>
        </w:rPr>
        <w:t>Genome Research, 18</w:t>
      </w:r>
      <w:r w:rsidRPr="00D33B43">
        <w:rPr>
          <w:color w:val="000000"/>
        </w:rPr>
        <w:t>(5), 821–829.</w:t>
      </w:r>
      <w:r w:rsidRPr="00D33B43">
        <w:rPr>
          <w:rStyle w:val="apple-converted-space"/>
          <w:rFonts w:eastAsia="Times New Roman"/>
          <w:color w:val="000000"/>
        </w:rPr>
        <w:t> </w:t>
      </w:r>
      <w:r w:rsidRPr="00D33B43">
        <w:rPr>
          <w:color w:val="000000"/>
        </w:rPr>
        <w:t>https://doi.org/10.1101/gr.074492.107</w:t>
      </w:r>
    </w:p>
    <w:p w14:paraId="0E8B21D2"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7.</w:t>
      </w:r>
      <w:r w:rsidRPr="00D33B43">
        <w:rPr>
          <w:rStyle w:val="apple-converted-space"/>
          <w:rFonts w:eastAsia="Times New Roman"/>
          <w:color w:val="000000"/>
        </w:rPr>
        <w:t xml:space="preserve">  </w:t>
      </w:r>
      <w:r w:rsidRPr="00D33B43">
        <w:rPr>
          <w:color w:val="000000"/>
        </w:rPr>
        <w:t xml:space="preserve">Li, H. </w:t>
      </w:r>
      <w:proofErr w:type="spellStart"/>
      <w:r w:rsidRPr="00D33B43">
        <w:rPr>
          <w:color w:val="000000"/>
        </w:rPr>
        <w:t>wgsim</w:t>
      </w:r>
      <w:proofErr w:type="spellEnd"/>
      <w:r w:rsidRPr="00D33B43">
        <w:rPr>
          <w:color w:val="000000"/>
        </w:rPr>
        <w:t>. GitHub.</w:t>
      </w:r>
      <w:r w:rsidRPr="00D33B43">
        <w:rPr>
          <w:rStyle w:val="apple-converted-space"/>
          <w:rFonts w:eastAsia="Times New Roman"/>
          <w:color w:val="000000"/>
        </w:rPr>
        <w:t> </w:t>
      </w:r>
      <w:hyperlink r:id="rId16" w:tgtFrame="_new" w:history="1">
        <w:r w:rsidRPr="00D33B43">
          <w:rPr>
            <w:rStyle w:val="Hyperlink"/>
            <w:rFonts w:eastAsia="Times New Roman"/>
            <w:color w:val="000000"/>
          </w:rPr>
          <w:t>https://github.com/lh3/wgsim</w:t>
        </w:r>
      </w:hyperlink>
    </w:p>
    <w:p w14:paraId="0A9D1D87"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8.</w:t>
      </w:r>
      <w:r w:rsidRPr="00D33B43">
        <w:rPr>
          <w:rStyle w:val="apple-converted-space"/>
          <w:rFonts w:eastAsia="Times New Roman"/>
          <w:color w:val="000000"/>
        </w:rPr>
        <w:t xml:space="preserve">  </w:t>
      </w:r>
      <w:proofErr w:type="spellStart"/>
      <w:r w:rsidRPr="00D33B43">
        <w:rPr>
          <w:rStyle w:val="Strong"/>
          <w:rFonts w:eastAsia="Times New Roman"/>
          <w:b w:val="0"/>
          <w:bCs w:val="0"/>
          <w:color w:val="000000"/>
        </w:rPr>
        <w:t>Gnerre</w:t>
      </w:r>
      <w:proofErr w:type="spellEnd"/>
      <w:r w:rsidRPr="00D33B43">
        <w:rPr>
          <w:rStyle w:val="Strong"/>
          <w:rFonts w:eastAsia="Times New Roman"/>
          <w:b w:val="0"/>
          <w:bCs w:val="0"/>
          <w:color w:val="000000"/>
        </w:rPr>
        <w:t xml:space="preserve">, S., MacCallum, I., Przybylski, D., Ribeiro, F. J., Burton, J. N., Walker, B. J., Sharpe, T., Hall, G., Shea, T. P., Sykes, S., Berlin, A. M., Aird, D., Costello, M., Daza, R., Williams, L., Nicol, R., </w:t>
      </w:r>
      <w:proofErr w:type="spellStart"/>
      <w:r w:rsidRPr="00D33B43">
        <w:rPr>
          <w:rStyle w:val="Strong"/>
          <w:rFonts w:eastAsia="Times New Roman"/>
          <w:b w:val="0"/>
          <w:bCs w:val="0"/>
          <w:color w:val="000000"/>
        </w:rPr>
        <w:t>Gnirke</w:t>
      </w:r>
      <w:proofErr w:type="spellEnd"/>
      <w:r w:rsidRPr="00D33B43">
        <w:rPr>
          <w:rStyle w:val="Strong"/>
          <w:rFonts w:eastAsia="Times New Roman"/>
          <w:b w:val="0"/>
          <w:bCs w:val="0"/>
          <w:color w:val="000000"/>
        </w:rPr>
        <w:t>, A., Nusbaum, C., Lander, E. S., &amp; Jaffe, D. B.</w:t>
      </w:r>
      <w:r w:rsidRPr="00D33B43">
        <w:rPr>
          <w:rStyle w:val="apple-converted-space"/>
          <w:rFonts w:eastAsia="Times New Roman"/>
          <w:color w:val="000000"/>
        </w:rPr>
        <w:t> </w:t>
      </w:r>
      <w:r w:rsidRPr="00D33B43">
        <w:rPr>
          <w:color w:val="000000"/>
        </w:rPr>
        <w:t>(2011).</w:t>
      </w:r>
      <w:r w:rsidRPr="00D33B43">
        <w:rPr>
          <w:rStyle w:val="apple-converted-space"/>
          <w:rFonts w:eastAsia="Times New Roman"/>
          <w:color w:val="000000"/>
        </w:rPr>
        <w:t> </w:t>
      </w:r>
      <w:r w:rsidRPr="00D33B43">
        <w:rPr>
          <w:rStyle w:val="Emphasis"/>
          <w:rFonts w:eastAsia="Times New Roman"/>
          <w:color w:val="000000"/>
        </w:rPr>
        <w:t>Proceedings of the National Academy of Sciences, 108</w:t>
      </w:r>
      <w:r w:rsidRPr="00D33B43">
        <w:rPr>
          <w:color w:val="000000"/>
        </w:rPr>
        <w:t>(4), 1513–1518.</w:t>
      </w:r>
      <w:r w:rsidRPr="00D33B43">
        <w:rPr>
          <w:rStyle w:val="apple-converted-space"/>
          <w:rFonts w:eastAsia="Times New Roman"/>
          <w:color w:val="000000"/>
        </w:rPr>
        <w:t> </w:t>
      </w:r>
      <w:hyperlink r:id="rId17" w:tgtFrame="_new" w:history="1">
        <w:r w:rsidRPr="00D33B43">
          <w:rPr>
            <w:rStyle w:val="Hyperlink"/>
            <w:rFonts w:eastAsia="Times New Roman"/>
            <w:color w:val="000000"/>
          </w:rPr>
          <w:t>https://doi.org/10.1073/pnas.1017351108</w:t>
        </w:r>
      </w:hyperlink>
    </w:p>
    <w:p w14:paraId="48828C46"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9.</w:t>
      </w:r>
      <w:r w:rsidRPr="00D33B43">
        <w:rPr>
          <w:rStyle w:val="apple-converted-space"/>
          <w:rFonts w:eastAsia="Times New Roman"/>
          <w:color w:val="000000"/>
        </w:rPr>
        <w:t xml:space="preserve">  </w:t>
      </w:r>
      <w:proofErr w:type="spellStart"/>
      <w:r w:rsidRPr="00D33B43">
        <w:rPr>
          <w:color w:val="000000"/>
        </w:rPr>
        <w:t>Huntemann</w:t>
      </w:r>
      <w:proofErr w:type="spellEnd"/>
      <w:r w:rsidRPr="00D33B43">
        <w:rPr>
          <w:color w:val="000000"/>
        </w:rPr>
        <w:t xml:space="preserve">, M., Ivanova, N. N., </w:t>
      </w:r>
      <w:proofErr w:type="spellStart"/>
      <w:r w:rsidRPr="00D33B43">
        <w:rPr>
          <w:color w:val="000000"/>
        </w:rPr>
        <w:t>Mavromatis</w:t>
      </w:r>
      <w:proofErr w:type="spellEnd"/>
      <w:r w:rsidRPr="00D33B43">
        <w:rPr>
          <w:color w:val="000000"/>
        </w:rPr>
        <w:t xml:space="preserve">, K., Tripp, H. J., Paez-Espino, D., </w:t>
      </w:r>
      <w:proofErr w:type="spellStart"/>
      <w:r w:rsidRPr="00D33B43">
        <w:rPr>
          <w:color w:val="000000"/>
        </w:rPr>
        <w:t>Palaniappan</w:t>
      </w:r>
      <w:proofErr w:type="spellEnd"/>
      <w:r w:rsidRPr="00D33B43">
        <w:rPr>
          <w:color w:val="000000"/>
        </w:rPr>
        <w:t xml:space="preserve">, K., Szeto, E., Pillay, M., Chen, I. A., Pati, A., Nielsen, T., Markowitz, V. M., &amp; </w:t>
      </w:r>
      <w:proofErr w:type="spellStart"/>
      <w:r w:rsidRPr="00D33B43">
        <w:rPr>
          <w:color w:val="000000"/>
        </w:rPr>
        <w:t>Kyrpides</w:t>
      </w:r>
      <w:proofErr w:type="spellEnd"/>
      <w:r w:rsidRPr="00D33B43">
        <w:rPr>
          <w:color w:val="000000"/>
        </w:rPr>
        <w:t>, N. C. (2015).</w:t>
      </w:r>
      <w:r w:rsidRPr="00D33B43">
        <w:rPr>
          <w:rStyle w:val="apple-converted-space"/>
          <w:rFonts w:eastAsia="Times New Roman"/>
          <w:color w:val="000000"/>
        </w:rPr>
        <w:t> </w:t>
      </w:r>
      <w:r w:rsidRPr="00D33B43">
        <w:rPr>
          <w:rStyle w:val="Emphasis"/>
          <w:rFonts w:eastAsia="Times New Roman"/>
          <w:color w:val="000000"/>
        </w:rPr>
        <w:t>Standards in Genomic Sciences, 10</w:t>
      </w:r>
      <w:r w:rsidRPr="00D33B43">
        <w:rPr>
          <w:color w:val="000000"/>
        </w:rPr>
        <w:t>, 86.</w:t>
      </w:r>
      <w:r w:rsidRPr="00D33B43">
        <w:rPr>
          <w:rStyle w:val="apple-converted-space"/>
          <w:rFonts w:eastAsia="Times New Roman"/>
          <w:color w:val="000000"/>
        </w:rPr>
        <w:t> </w:t>
      </w:r>
      <w:hyperlink r:id="rId18" w:history="1">
        <w:r w:rsidRPr="00D33B43">
          <w:rPr>
            <w:rStyle w:val="Hyperlink"/>
            <w:color w:val="000000"/>
          </w:rPr>
          <w:t>https://doi.org/10.1186/s40793-015-0077-y</w:t>
        </w:r>
      </w:hyperlink>
      <w:r w:rsidRPr="00D33B43">
        <w:rPr>
          <w:color w:val="000000"/>
        </w:rPr>
        <w:t xml:space="preserve"> </w:t>
      </w:r>
    </w:p>
    <w:p w14:paraId="534C372A"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10.</w:t>
      </w:r>
      <w:r w:rsidRPr="00D33B43">
        <w:rPr>
          <w:rStyle w:val="apple-converted-space"/>
          <w:rFonts w:eastAsia="Times New Roman"/>
          <w:color w:val="000000"/>
        </w:rPr>
        <w:t xml:space="preserve">  </w:t>
      </w:r>
      <w:proofErr w:type="spellStart"/>
      <w:r w:rsidRPr="00D33B43">
        <w:rPr>
          <w:color w:val="000000"/>
        </w:rPr>
        <w:t>Chklovski</w:t>
      </w:r>
      <w:proofErr w:type="spellEnd"/>
      <w:r w:rsidRPr="00D33B43">
        <w:rPr>
          <w:color w:val="000000"/>
        </w:rPr>
        <w:t>, A., Parks, D. H., Woodcroft, B. J., &amp; Tyson, G. W. (2023).</w:t>
      </w:r>
      <w:r w:rsidRPr="00D33B43">
        <w:rPr>
          <w:rStyle w:val="apple-converted-space"/>
          <w:rFonts w:eastAsia="Times New Roman"/>
          <w:color w:val="000000"/>
        </w:rPr>
        <w:t> </w:t>
      </w:r>
      <w:r w:rsidRPr="00D33B43">
        <w:rPr>
          <w:rStyle w:val="Emphasis"/>
          <w:rFonts w:eastAsia="Times New Roman"/>
          <w:color w:val="000000"/>
        </w:rPr>
        <w:t>Nature Methods, 20</w:t>
      </w:r>
      <w:r w:rsidRPr="00D33B43">
        <w:rPr>
          <w:color w:val="000000"/>
        </w:rPr>
        <w:t>(8), 1203–1212.</w:t>
      </w:r>
      <w:r w:rsidRPr="00D33B43">
        <w:rPr>
          <w:rStyle w:val="apple-converted-space"/>
          <w:rFonts w:eastAsia="Times New Roman"/>
          <w:color w:val="000000"/>
        </w:rPr>
        <w:t> </w:t>
      </w:r>
      <w:r w:rsidRPr="00D33B43">
        <w:rPr>
          <w:color w:val="000000"/>
        </w:rPr>
        <w:t>https://doi.org/10.1038/s41592-023-01987-0</w:t>
      </w:r>
    </w:p>
    <w:p w14:paraId="2DED2904"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11.</w:t>
      </w:r>
      <w:r w:rsidRPr="00D33B43">
        <w:rPr>
          <w:rStyle w:val="apple-converted-space"/>
          <w:rFonts w:eastAsia="Times New Roman"/>
          <w:color w:val="000000"/>
        </w:rPr>
        <w:t xml:space="preserve">  </w:t>
      </w:r>
      <w:r w:rsidRPr="00D33B43">
        <w:rPr>
          <w:color w:val="000000"/>
        </w:rPr>
        <w:t xml:space="preserve">Cosentino, S., </w:t>
      </w:r>
      <w:proofErr w:type="spellStart"/>
      <w:r w:rsidRPr="00D33B43">
        <w:rPr>
          <w:color w:val="000000"/>
        </w:rPr>
        <w:t>Voldby</w:t>
      </w:r>
      <w:proofErr w:type="spellEnd"/>
      <w:r w:rsidRPr="00D33B43">
        <w:rPr>
          <w:color w:val="000000"/>
        </w:rPr>
        <w:t xml:space="preserve"> Larsen, M., </w:t>
      </w:r>
      <w:proofErr w:type="spellStart"/>
      <w:r w:rsidRPr="00D33B43">
        <w:rPr>
          <w:color w:val="000000"/>
        </w:rPr>
        <w:t>Møller</w:t>
      </w:r>
      <w:proofErr w:type="spellEnd"/>
      <w:r w:rsidRPr="00D33B43">
        <w:rPr>
          <w:color w:val="000000"/>
        </w:rPr>
        <w:t xml:space="preserve"> </w:t>
      </w:r>
      <w:proofErr w:type="spellStart"/>
      <w:r w:rsidRPr="00D33B43">
        <w:rPr>
          <w:color w:val="000000"/>
        </w:rPr>
        <w:t>Aarestrup</w:t>
      </w:r>
      <w:proofErr w:type="spellEnd"/>
      <w:r w:rsidRPr="00D33B43">
        <w:rPr>
          <w:color w:val="000000"/>
        </w:rPr>
        <w:t>, F., &amp; Lund, O. (2013).</w:t>
      </w:r>
      <w:r w:rsidRPr="00D33B43">
        <w:rPr>
          <w:rStyle w:val="apple-converted-space"/>
          <w:rFonts w:eastAsia="Times New Roman"/>
          <w:color w:val="000000"/>
        </w:rPr>
        <w:t> </w:t>
      </w:r>
      <w:r w:rsidRPr="00D33B43">
        <w:rPr>
          <w:rStyle w:val="Emphasis"/>
          <w:rFonts w:eastAsia="Times New Roman"/>
          <w:color w:val="000000"/>
        </w:rPr>
        <w:t>PLOS ONE, 8</w:t>
      </w:r>
      <w:r w:rsidRPr="00D33B43">
        <w:rPr>
          <w:color w:val="000000"/>
        </w:rPr>
        <w:t>(12).</w:t>
      </w:r>
      <w:r w:rsidRPr="00D33B43">
        <w:rPr>
          <w:rStyle w:val="apple-converted-space"/>
          <w:rFonts w:eastAsia="Times New Roman"/>
          <w:color w:val="000000"/>
        </w:rPr>
        <w:t> </w:t>
      </w:r>
      <w:hyperlink r:id="rId19" w:tgtFrame="_new" w:history="1">
        <w:r w:rsidRPr="00D33B43">
          <w:rPr>
            <w:rStyle w:val="Hyperlink"/>
            <w:rFonts w:eastAsia="Times New Roman"/>
            <w:color w:val="000000"/>
          </w:rPr>
          <w:t>https://doi.org/10.1371/annotation/b84e1af7-c127-45c3-be22-76abd977600f</w:t>
        </w:r>
      </w:hyperlink>
    </w:p>
    <w:p w14:paraId="7E4B415C"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lastRenderedPageBreak/>
        <w:t>12.</w:t>
      </w:r>
      <w:r w:rsidRPr="00D33B43">
        <w:rPr>
          <w:rStyle w:val="apple-converted-space"/>
          <w:rFonts w:eastAsia="Times New Roman"/>
          <w:color w:val="000000"/>
        </w:rPr>
        <w:t xml:space="preserve">  </w:t>
      </w:r>
      <w:r w:rsidRPr="00D33B43">
        <w:rPr>
          <w:color w:val="000000"/>
        </w:rPr>
        <w:t>Liu, B., Zheng, D., Zhou, S., Chen, L., &amp; Yang, J. (2022).</w:t>
      </w:r>
      <w:r w:rsidRPr="00D33B43">
        <w:rPr>
          <w:rStyle w:val="apple-converted-space"/>
          <w:rFonts w:eastAsia="Times New Roman"/>
          <w:color w:val="000000"/>
        </w:rPr>
        <w:t> </w:t>
      </w:r>
      <w:r w:rsidRPr="00D33B43">
        <w:rPr>
          <w:rStyle w:val="Emphasis"/>
          <w:rFonts w:eastAsia="Times New Roman"/>
          <w:color w:val="000000"/>
        </w:rPr>
        <w:t>Nucleic Acids Research, 50</w:t>
      </w:r>
      <w:r w:rsidRPr="00D33B43">
        <w:rPr>
          <w:color w:val="000000"/>
        </w:rPr>
        <w:t>(D1), D912–D917.</w:t>
      </w:r>
      <w:r w:rsidRPr="00D33B43">
        <w:rPr>
          <w:rStyle w:val="apple-converted-space"/>
          <w:rFonts w:eastAsia="Times New Roman"/>
          <w:color w:val="000000"/>
        </w:rPr>
        <w:t> </w:t>
      </w:r>
      <w:r w:rsidRPr="00D33B43">
        <w:rPr>
          <w:color w:val="000000"/>
        </w:rPr>
        <w:t>https://doi.org/10.1093/nar/gkab1107</w:t>
      </w:r>
    </w:p>
    <w:p w14:paraId="28176E7E" w14:textId="77777777"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13.</w:t>
      </w:r>
      <w:r w:rsidRPr="00D33B43">
        <w:rPr>
          <w:rStyle w:val="apple-converted-space"/>
          <w:rFonts w:eastAsia="Times New Roman"/>
          <w:color w:val="000000"/>
        </w:rPr>
        <w:t xml:space="preserve">  </w:t>
      </w:r>
      <w:r w:rsidRPr="00D33B43">
        <w:rPr>
          <w:color w:val="000000"/>
        </w:rPr>
        <w:t xml:space="preserve">Alcock, B. P., Huynh, W., </w:t>
      </w:r>
      <w:proofErr w:type="spellStart"/>
      <w:r w:rsidRPr="00D33B43">
        <w:rPr>
          <w:color w:val="000000"/>
        </w:rPr>
        <w:t>Chalil</w:t>
      </w:r>
      <w:proofErr w:type="spellEnd"/>
      <w:r w:rsidRPr="00D33B43">
        <w:rPr>
          <w:color w:val="000000"/>
        </w:rPr>
        <w:t xml:space="preserve">, R., Smith, K. W., </w:t>
      </w:r>
      <w:proofErr w:type="spellStart"/>
      <w:r w:rsidRPr="00D33B43">
        <w:rPr>
          <w:color w:val="000000"/>
        </w:rPr>
        <w:t>Raphenya</w:t>
      </w:r>
      <w:proofErr w:type="spellEnd"/>
      <w:r w:rsidRPr="00D33B43">
        <w:rPr>
          <w:color w:val="000000"/>
        </w:rPr>
        <w:t xml:space="preserve">, A. R., </w:t>
      </w:r>
      <w:proofErr w:type="spellStart"/>
      <w:r w:rsidRPr="00D33B43">
        <w:rPr>
          <w:color w:val="000000"/>
        </w:rPr>
        <w:t>Wlodarski</w:t>
      </w:r>
      <w:proofErr w:type="spellEnd"/>
      <w:r w:rsidRPr="00D33B43">
        <w:rPr>
          <w:color w:val="000000"/>
        </w:rPr>
        <w:t xml:space="preserve">, M. A., </w:t>
      </w:r>
      <w:proofErr w:type="spellStart"/>
      <w:r w:rsidRPr="00D33B43">
        <w:rPr>
          <w:color w:val="000000"/>
        </w:rPr>
        <w:t>Edalatmand</w:t>
      </w:r>
      <w:proofErr w:type="spellEnd"/>
      <w:r w:rsidRPr="00D33B43">
        <w:rPr>
          <w:color w:val="000000"/>
        </w:rPr>
        <w:t xml:space="preserve">, A., Petkau, A., Syed, S. A., Tsang, K. K., Baker, S. J. C., Dave, M., McCarthy, M. C., </w:t>
      </w:r>
      <w:proofErr w:type="spellStart"/>
      <w:r w:rsidRPr="00D33B43">
        <w:rPr>
          <w:color w:val="000000"/>
        </w:rPr>
        <w:t>Mukiri</w:t>
      </w:r>
      <w:proofErr w:type="spellEnd"/>
      <w:r w:rsidRPr="00D33B43">
        <w:rPr>
          <w:color w:val="000000"/>
        </w:rPr>
        <w:t xml:space="preserve">, K. M., Nasir, J. A., Golbon, B., Imtiaz, H., Jiang, X., Kaur, K., Kwong, M., Liang, Z. C., Niu, K. C., Shan, P., Yang, J. Y. J., Gray, K. L., Hoad, G. R., Jia, B., </w:t>
      </w:r>
      <w:proofErr w:type="spellStart"/>
      <w:r w:rsidRPr="00D33B43">
        <w:rPr>
          <w:color w:val="000000"/>
        </w:rPr>
        <w:t>Bhando</w:t>
      </w:r>
      <w:proofErr w:type="spellEnd"/>
      <w:r w:rsidRPr="00D33B43">
        <w:rPr>
          <w:color w:val="000000"/>
        </w:rPr>
        <w:t xml:space="preserve">, T., Carfrae, L. A., Farha, M. A., French, S., </w:t>
      </w:r>
      <w:proofErr w:type="spellStart"/>
      <w:r w:rsidRPr="00D33B43">
        <w:rPr>
          <w:color w:val="000000"/>
        </w:rPr>
        <w:t>Gordzevich</w:t>
      </w:r>
      <w:proofErr w:type="spellEnd"/>
      <w:r w:rsidRPr="00D33B43">
        <w:rPr>
          <w:color w:val="000000"/>
        </w:rPr>
        <w:t xml:space="preserve">, R., </w:t>
      </w:r>
      <w:proofErr w:type="spellStart"/>
      <w:r w:rsidRPr="00D33B43">
        <w:rPr>
          <w:color w:val="000000"/>
        </w:rPr>
        <w:t>Rachwalski</w:t>
      </w:r>
      <w:proofErr w:type="spellEnd"/>
      <w:r w:rsidRPr="00D33B43">
        <w:rPr>
          <w:color w:val="000000"/>
        </w:rPr>
        <w:t xml:space="preserve">, K., Tu, M. M., Bordeleau, E., Dooley, D., Griffiths, E., </w:t>
      </w:r>
      <w:proofErr w:type="spellStart"/>
      <w:r w:rsidRPr="00D33B43">
        <w:rPr>
          <w:color w:val="000000"/>
        </w:rPr>
        <w:t>Zubyk</w:t>
      </w:r>
      <w:proofErr w:type="spellEnd"/>
      <w:r w:rsidRPr="00D33B43">
        <w:rPr>
          <w:color w:val="000000"/>
        </w:rPr>
        <w:t xml:space="preserve">, H. L., Brown, E. D., Maguire, F., </w:t>
      </w:r>
      <w:proofErr w:type="spellStart"/>
      <w:r w:rsidRPr="00D33B43">
        <w:rPr>
          <w:color w:val="000000"/>
        </w:rPr>
        <w:t>Beiko</w:t>
      </w:r>
      <w:proofErr w:type="spellEnd"/>
      <w:r w:rsidRPr="00D33B43">
        <w:rPr>
          <w:color w:val="000000"/>
        </w:rPr>
        <w:t xml:space="preserve">, R. G., Hsiao, W. W. L., Brinkman, F. S. L., Van </w:t>
      </w:r>
      <w:proofErr w:type="spellStart"/>
      <w:r w:rsidRPr="00D33B43">
        <w:rPr>
          <w:color w:val="000000"/>
        </w:rPr>
        <w:t>Domselaar</w:t>
      </w:r>
      <w:proofErr w:type="spellEnd"/>
      <w:r w:rsidRPr="00D33B43">
        <w:rPr>
          <w:color w:val="000000"/>
        </w:rPr>
        <w:t>, G., &amp; McArthur, A. G. (2023).</w:t>
      </w:r>
      <w:r w:rsidRPr="00D33B43">
        <w:rPr>
          <w:rStyle w:val="apple-converted-space"/>
          <w:rFonts w:eastAsia="Times New Roman"/>
          <w:color w:val="000000"/>
        </w:rPr>
        <w:t> </w:t>
      </w:r>
      <w:r w:rsidRPr="00D33B43">
        <w:rPr>
          <w:rStyle w:val="Emphasis"/>
          <w:rFonts w:eastAsia="Times New Roman"/>
          <w:color w:val="000000"/>
        </w:rPr>
        <w:t>Nucleic Acids Research, 51</w:t>
      </w:r>
      <w:r w:rsidRPr="00D33B43">
        <w:rPr>
          <w:color w:val="000000"/>
        </w:rPr>
        <w:t>(D1), D690–D699.</w:t>
      </w:r>
      <w:r w:rsidRPr="00D33B43">
        <w:rPr>
          <w:rStyle w:val="apple-converted-space"/>
          <w:rFonts w:eastAsia="Times New Roman"/>
          <w:color w:val="000000"/>
        </w:rPr>
        <w:t> </w:t>
      </w:r>
      <w:r w:rsidRPr="00D33B43">
        <w:rPr>
          <w:color w:val="000000"/>
        </w:rPr>
        <w:t>https://doi.org/10.1093/nar/gkac920</w:t>
      </w:r>
    </w:p>
    <w:p w14:paraId="0339AF06" w14:textId="11120B6E" w:rsidR="00D33B43"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w:t>
      </w:r>
      <w:r w:rsidR="009B6003">
        <w:rPr>
          <w:rStyle w:val="Strong"/>
          <w:rFonts w:eastAsia="Times New Roman"/>
          <w:b w:val="0"/>
          <w:bCs w:val="0"/>
          <w:color w:val="000000"/>
        </w:rPr>
        <w:t>4</w:t>
      </w:r>
      <w:r w:rsidRPr="00D33B43">
        <w:rPr>
          <w:rStyle w:val="Strong"/>
          <w:rFonts w:eastAsia="Times New Roman"/>
          <w:b w:val="0"/>
          <w:bCs w:val="0"/>
          <w:color w:val="000000"/>
        </w:rPr>
        <w:t>.</w:t>
      </w:r>
      <w:r w:rsidRPr="00D33B43">
        <w:rPr>
          <w:rStyle w:val="apple-converted-space"/>
          <w:rFonts w:eastAsia="Times New Roman"/>
          <w:color w:val="000000"/>
        </w:rPr>
        <w:t xml:space="preserve">  </w:t>
      </w:r>
      <w:proofErr w:type="spellStart"/>
      <w:r w:rsidRPr="00D33B43">
        <w:rPr>
          <w:color w:val="000000"/>
        </w:rPr>
        <w:t>Couvin</w:t>
      </w:r>
      <w:proofErr w:type="spellEnd"/>
      <w:r w:rsidRPr="00D33B43">
        <w:rPr>
          <w:color w:val="000000"/>
        </w:rPr>
        <w:t xml:space="preserve">, D., Bernheim, A., </w:t>
      </w:r>
      <w:proofErr w:type="spellStart"/>
      <w:r w:rsidRPr="00D33B43">
        <w:rPr>
          <w:color w:val="000000"/>
        </w:rPr>
        <w:t>Toffano-Nioche</w:t>
      </w:r>
      <w:proofErr w:type="spellEnd"/>
      <w:r w:rsidRPr="00D33B43">
        <w:rPr>
          <w:color w:val="000000"/>
        </w:rPr>
        <w:t xml:space="preserve">, C., </w:t>
      </w:r>
      <w:proofErr w:type="spellStart"/>
      <w:r w:rsidRPr="00D33B43">
        <w:rPr>
          <w:color w:val="000000"/>
        </w:rPr>
        <w:t>Touchon</w:t>
      </w:r>
      <w:proofErr w:type="spellEnd"/>
      <w:r w:rsidRPr="00D33B43">
        <w:rPr>
          <w:color w:val="000000"/>
        </w:rPr>
        <w:t xml:space="preserve">, M., Michalik, J., </w:t>
      </w:r>
      <w:proofErr w:type="spellStart"/>
      <w:r w:rsidRPr="00D33B43">
        <w:rPr>
          <w:color w:val="000000"/>
        </w:rPr>
        <w:t>Néron</w:t>
      </w:r>
      <w:proofErr w:type="spellEnd"/>
      <w:r w:rsidRPr="00D33B43">
        <w:rPr>
          <w:color w:val="000000"/>
        </w:rPr>
        <w:t xml:space="preserve">, B., Rocha, E. P. C., </w:t>
      </w:r>
      <w:proofErr w:type="spellStart"/>
      <w:r w:rsidRPr="00D33B43">
        <w:rPr>
          <w:color w:val="000000"/>
        </w:rPr>
        <w:t>Vergnaud</w:t>
      </w:r>
      <w:proofErr w:type="spellEnd"/>
      <w:r w:rsidRPr="00D33B43">
        <w:rPr>
          <w:color w:val="000000"/>
        </w:rPr>
        <w:t xml:space="preserve">, G., </w:t>
      </w:r>
      <w:proofErr w:type="spellStart"/>
      <w:r w:rsidRPr="00D33B43">
        <w:rPr>
          <w:color w:val="000000"/>
        </w:rPr>
        <w:t>Gautheret</w:t>
      </w:r>
      <w:proofErr w:type="spellEnd"/>
      <w:r w:rsidRPr="00D33B43">
        <w:rPr>
          <w:color w:val="000000"/>
        </w:rPr>
        <w:t xml:space="preserve">, D., &amp; </w:t>
      </w:r>
      <w:proofErr w:type="spellStart"/>
      <w:r w:rsidRPr="00D33B43">
        <w:rPr>
          <w:color w:val="000000"/>
        </w:rPr>
        <w:t>Pourcel</w:t>
      </w:r>
      <w:proofErr w:type="spellEnd"/>
      <w:r w:rsidRPr="00D33B43">
        <w:rPr>
          <w:color w:val="000000"/>
        </w:rPr>
        <w:t>, C. (2018).</w:t>
      </w:r>
      <w:r w:rsidRPr="00D33B43">
        <w:rPr>
          <w:rStyle w:val="apple-converted-space"/>
          <w:rFonts w:eastAsia="Times New Roman"/>
          <w:color w:val="000000"/>
        </w:rPr>
        <w:t> </w:t>
      </w:r>
      <w:r w:rsidRPr="00D33B43">
        <w:rPr>
          <w:rStyle w:val="Emphasis"/>
          <w:rFonts w:eastAsia="Times New Roman"/>
          <w:color w:val="000000"/>
        </w:rPr>
        <w:t>Nucleic Acids Research, 46</w:t>
      </w:r>
      <w:r w:rsidRPr="00D33B43">
        <w:rPr>
          <w:color w:val="000000"/>
        </w:rPr>
        <w:t>(W1), W246–W251.</w:t>
      </w:r>
      <w:r w:rsidRPr="00D33B43">
        <w:rPr>
          <w:rStyle w:val="apple-converted-space"/>
          <w:rFonts w:eastAsia="Times New Roman"/>
          <w:color w:val="000000"/>
        </w:rPr>
        <w:t> </w:t>
      </w:r>
      <w:hyperlink r:id="rId20" w:tgtFrame="_new" w:history="1">
        <w:r w:rsidRPr="00D33B43">
          <w:rPr>
            <w:rStyle w:val="Hyperlink"/>
            <w:rFonts w:eastAsia="Times New Roman"/>
            <w:color w:val="000000"/>
          </w:rPr>
          <w:t>https://doi.org/10.1093/nar/gky425</w:t>
        </w:r>
      </w:hyperlink>
    </w:p>
    <w:p w14:paraId="39FD3F7E" w14:textId="2287B294" w:rsidR="00E103F5" w:rsidRPr="00D33B43" w:rsidRDefault="00D33B43" w:rsidP="00D33B43">
      <w:pPr>
        <w:spacing w:before="100" w:beforeAutospacing="1" w:after="100" w:afterAutospacing="1"/>
        <w:rPr>
          <w:color w:val="000000"/>
        </w:rPr>
      </w:pPr>
      <w:r w:rsidRPr="00D33B43">
        <w:rPr>
          <w:rStyle w:val="Strong"/>
          <w:rFonts w:eastAsia="Times New Roman"/>
          <w:b w:val="0"/>
          <w:bCs w:val="0"/>
          <w:color w:val="000000"/>
        </w:rPr>
        <w:t>1</w:t>
      </w:r>
      <w:r w:rsidR="009B6003">
        <w:rPr>
          <w:rStyle w:val="Strong"/>
          <w:rFonts w:eastAsia="Times New Roman"/>
          <w:b w:val="0"/>
          <w:bCs w:val="0"/>
          <w:color w:val="000000"/>
        </w:rPr>
        <w:t>5</w:t>
      </w:r>
      <w:r w:rsidRPr="00D33B43">
        <w:rPr>
          <w:rStyle w:val="Strong"/>
          <w:rFonts w:eastAsia="Times New Roman"/>
          <w:b w:val="0"/>
          <w:bCs w:val="0"/>
          <w:color w:val="000000"/>
        </w:rPr>
        <w:t>.</w:t>
      </w:r>
      <w:r w:rsidRPr="00D33B43">
        <w:rPr>
          <w:rStyle w:val="apple-converted-space"/>
          <w:rFonts w:eastAsia="Times New Roman"/>
          <w:color w:val="000000"/>
        </w:rPr>
        <w:t xml:space="preserve">  </w:t>
      </w:r>
      <w:r w:rsidRPr="00D33B43">
        <w:rPr>
          <w:color w:val="000000"/>
        </w:rPr>
        <w:t xml:space="preserve">Blin, K., Shaw, S., </w:t>
      </w:r>
      <w:proofErr w:type="spellStart"/>
      <w:r w:rsidRPr="00D33B43">
        <w:rPr>
          <w:color w:val="000000"/>
        </w:rPr>
        <w:t>Augustijn</w:t>
      </w:r>
      <w:proofErr w:type="spellEnd"/>
      <w:r w:rsidRPr="00D33B43">
        <w:rPr>
          <w:color w:val="000000"/>
        </w:rPr>
        <w:t xml:space="preserve">, H. E., Reitz, Z. L., Biermann, F., </w:t>
      </w:r>
      <w:proofErr w:type="spellStart"/>
      <w:r w:rsidRPr="00D33B43">
        <w:rPr>
          <w:color w:val="000000"/>
        </w:rPr>
        <w:t>Alanjary</w:t>
      </w:r>
      <w:proofErr w:type="spellEnd"/>
      <w:r w:rsidRPr="00D33B43">
        <w:rPr>
          <w:color w:val="000000"/>
        </w:rPr>
        <w:t xml:space="preserve">, M., Fetter, A., </w:t>
      </w:r>
      <w:proofErr w:type="spellStart"/>
      <w:r w:rsidRPr="00D33B43">
        <w:rPr>
          <w:color w:val="000000"/>
        </w:rPr>
        <w:t>Terlouw</w:t>
      </w:r>
      <w:proofErr w:type="spellEnd"/>
      <w:r w:rsidRPr="00D33B43">
        <w:rPr>
          <w:color w:val="000000"/>
        </w:rPr>
        <w:t xml:space="preserve">, B. R., Metcalf, W. W., Helfrich, E. J. N., van Wezel, G. P., </w:t>
      </w:r>
      <w:proofErr w:type="spellStart"/>
      <w:r w:rsidRPr="00D33B43">
        <w:rPr>
          <w:color w:val="000000"/>
        </w:rPr>
        <w:t>Medema</w:t>
      </w:r>
      <w:proofErr w:type="spellEnd"/>
      <w:r w:rsidRPr="00D33B43">
        <w:rPr>
          <w:color w:val="000000"/>
        </w:rPr>
        <w:t>, M. H., &amp; Weber, T. (2023).</w:t>
      </w:r>
      <w:r w:rsidRPr="00D33B43">
        <w:rPr>
          <w:rStyle w:val="apple-converted-space"/>
          <w:rFonts w:eastAsia="Times New Roman"/>
          <w:color w:val="000000"/>
        </w:rPr>
        <w:t> </w:t>
      </w:r>
      <w:r w:rsidRPr="00D33B43">
        <w:rPr>
          <w:rStyle w:val="Emphasis"/>
          <w:rFonts w:eastAsia="Times New Roman"/>
          <w:color w:val="000000"/>
        </w:rPr>
        <w:t>Nucleic Acids Research, 51</w:t>
      </w:r>
      <w:r w:rsidRPr="00D33B43">
        <w:rPr>
          <w:color w:val="000000"/>
        </w:rPr>
        <w:t>(W1), W46–W50.</w:t>
      </w:r>
      <w:r w:rsidRPr="00D33B43">
        <w:rPr>
          <w:rStyle w:val="apple-converted-space"/>
          <w:rFonts w:eastAsia="Times New Roman"/>
          <w:color w:val="000000"/>
        </w:rPr>
        <w:t> </w:t>
      </w:r>
      <w:hyperlink r:id="rId21" w:tgtFrame="_new" w:history="1">
        <w:r w:rsidRPr="00D33B43">
          <w:rPr>
            <w:rStyle w:val="Hyperlink"/>
            <w:rFonts w:eastAsia="Times New Roman"/>
            <w:color w:val="000000"/>
          </w:rPr>
          <w:t>https://doi.org/10.1093/nar/gkad344</w:t>
        </w:r>
      </w:hyperlink>
    </w:p>
    <w:sectPr w:rsidR="00E103F5" w:rsidRPr="00D33B43" w:rsidSect="00CA397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2E04" w14:textId="77777777" w:rsidR="00BD08B2" w:rsidRDefault="00BD08B2" w:rsidP="00021CC2">
      <w:pPr>
        <w:spacing w:after="0" w:line="240" w:lineRule="auto"/>
      </w:pPr>
      <w:r>
        <w:separator/>
      </w:r>
    </w:p>
  </w:endnote>
  <w:endnote w:type="continuationSeparator" w:id="0">
    <w:p w14:paraId="75310987" w14:textId="77777777" w:rsidR="00BD08B2" w:rsidRDefault="00BD08B2" w:rsidP="00021CC2">
      <w:pPr>
        <w:spacing w:after="0" w:line="240" w:lineRule="auto"/>
      </w:pPr>
      <w:r>
        <w:continuationSeparator/>
      </w:r>
    </w:p>
  </w:endnote>
  <w:endnote w:type="continuationNotice" w:id="1">
    <w:p w14:paraId="53A53BE8" w14:textId="77777777" w:rsidR="00BD08B2" w:rsidRDefault="00BD08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3FA7" w14:textId="77777777" w:rsidR="00021CC2" w:rsidRDefault="00021CC2">
    <w:pPr>
      <w:pStyle w:val="Footer"/>
      <w:jc w:val="center"/>
    </w:pPr>
    <w:r>
      <w:fldChar w:fldCharType="begin"/>
    </w:r>
    <w:r>
      <w:instrText xml:space="preserve"> PAGE   \* MERGEFORMAT </w:instrText>
    </w:r>
    <w:r>
      <w:fldChar w:fldCharType="separate"/>
    </w:r>
    <w:r>
      <w:rPr>
        <w:noProof/>
      </w:rPr>
      <w:t>2</w:t>
    </w:r>
    <w:r>
      <w:rPr>
        <w:noProof/>
      </w:rPr>
      <w:fldChar w:fldCharType="end"/>
    </w:r>
  </w:p>
  <w:p w14:paraId="2CDFD20B" w14:textId="77777777" w:rsidR="00021CC2" w:rsidRDefault="00021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867D" w14:textId="77777777" w:rsidR="00BD08B2" w:rsidRDefault="00BD08B2" w:rsidP="00021CC2">
      <w:pPr>
        <w:spacing w:after="0" w:line="240" w:lineRule="auto"/>
      </w:pPr>
      <w:r>
        <w:separator/>
      </w:r>
    </w:p>
  </w:footnote>
  <w:footnote w:type="continuationSeparator" w:id="0">
    <w:p w14:paraId="71F046B3" w14:textId="77777777" w:rsidR="00BD08B2" w:rsidRDefault="00BD08B2" w:rsidP="00021CC2">
      <w:pPr>
        <w:spacing w:after="0" w:line="240" w:lineRule="auto"/>
      </w:pPr>
      <w:r>
        <w:continuationSeparator/>
      </w:r>
    </w:p>
  </w:footnote>
  <w:footnote w:type="continuationNotice" w:id="1">
    <w:p w14:paraId="7570A363" w14:textId="77777777" w:rsidR="00BD08B2" w:rsidRDefault="00BD08B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92AB1"/>
    <w:multiLevelType w:val="hybridMultilevel"/>
    <w:tmpl w:val="E444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41129"/>
    <w:multiLevelType w:val="hybridMultilevel"/>
    <w:tmpl w:val="8E76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A0F01"/>
    <w:multiLevelType w:val="multilevel"/>
    <w:tmpl w:val="97ECD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63302"/>
    <w:multiLevelType w:val="multilevel"/>
    <w:tmpl w:val="18304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D74CE"/>
    <w:multiLevelType w:val="multilevel"/>
    <w:tmpl w:val="AA645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E25A4"/>
    <w:multiLevelType w:val="hybridMultilevel"/>
    <w:tmpl w:val="76762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867DD"/>
    <w:multiLevelType w:val="multilevel"/>
    <w:tmpl w:val="885CAF86"/>
    <w:lvl w:ilvl="0">
      <w:start w:val="1"/>
      <w:numFmt w:val="bullet"/>
      <w:lvlText w:val=""/>
      <w:lvlJc w:val="left"/>
      <w:pPr>
        <w:tabs>
          <w:tab w:val="num" w:pos="-1170"/>
        </w:tabs>
        <w:ind w:left="-1170" w:hanging="360"/>
      </w:pPr>
      <w:rPr>
        <w:rFonts w:ascii="Symbol" w:hAnsi="Symbol" w:hint="default"/>
        <w:sz w:val="20"/>
      </w:rPr>
    </w:lvl>
    <w:lvl w:ilvl="1" w:tentative="1">
      <w:numFmt w:val="bullet"/>
      <w:lvlText w:val="o"/>
      <w:lvlJc w:val="left"/>
      <w:pPr>
        <w:tabs>
          <w:tab w:val="num" w:pos="-450"/>
        </w:tabs>
        <w:ind w:left="-450" w:hanging="360"/>
      </w:pPr>
      <w:rPr>
        <w:rFonts w:ascii="Courier New" w:hAnsi="Courier New" w:hint="default"/>
        <w:sz w:val="20"/>
      </w:rPr>
    </w:lvl>
    <w:lvl w:ilvl="2" w:tentative="1">
      <w:numFmt w:val="bullet"/>
      <w:lvlText w:val=""/>
      <w:lvlJc w:val="left"/>
      <w:pPr>
        <w:tabs>
          <w:tab w:val="num" w:pos="270"/>
        </w:tabs>
        <w:ind w:left="270" w:hanging="360"/>
      </w:pPr>
      <w:rPr>
        <w:rFonts w:ascii="Wingdings" w:hAnsi="Wingdings" w:hint="default"/>
        <w:sz w:val="20"/>
      </w:rPr>
    </w:lvl>
    <w:lvl w:ilvl="3" w:tentative="1">
      <w:numFmt w:val="bullet"/>
      <w:lvlText w:val=""/>
      <w:lvlJc w:val="left"/>
      <w:pPr>
        <w:tabs>
          <w:tab w:val="num" w:pos="990"/>
        </w:tabs>
        <w:ind w:left="990" w:hanging="360"/>
      </w:pPr>
      <w:rPr>
        <w:rFonts w:ascii="Wingdings" w:hAnsi="Wingdings" w:hint="default"/>
        <w:sz w:val="20"/>
      </w:rPr>
    </w:lvl>
    <w:lvl w:ilvl="4" w:tentative="1">
      <w:numFmt w:val="bullet"/>
      <w:lvlText w:val=""/>
      <w:lvlJc w:val="left"/>
      <w:pPr>
        <w:tabs>
          <w:tab w:val="num" w:pos="1710"/>
        </w:tabs>
        <w:ind w:left="1710" w:hanging="360"/>
      </w:pPr>
      <w:rPr>
        <w:rFonts w:ascii="Wingdings" w:hAnsi="Wingdings" w:hint="default"/>
        <w:sz w:val="20"/>
      </w:rPr>
    </w:lvl>
    <w:lvl w:ilvl="5" w:tentative="1">
      <w:numFmt w:val="bullet"/>
      <w:lvlText w:val=""/>
      <w:lvlJc w:val="left"/>
      <w:pPr>
        <w:tabs>
          <w:tab w:val="num" w:pos="2430"/>
        </w:tabs>
        <w:ind w:left="2430" w:hanging="360"/>
      </w:pPr>
      <w:rPr>
        <w:rFonts w:ascii="Wingdings" w:hAnsi="Wingdings" w:hint="default"/>
        <w:sz w:val="20"/>
      </w:rPr>
    </w:lvl>
    <w:lvl w:ilvl="6" w:tentative="1">
      <w:numFmt w:val="bullet"/>
      <w:lvlText w:val=""/>
      <w:lvlJc w:val="left"/>
      <w:pPr>
        <w:tabs>
          <w:tab w:val="num" w:pos="3150"/>
        </w:tabs>
        <w:ind w:left="3150" w:hanging="360"/>
      </w:pPr>
      <w:rPr>
        <w:rFonts w:ascii="Wingdings" w:hAnsi="Wingdings" w:hint="default"/>
        <w:sz w:val="20"/>
      </w:rPr>
    </w:lvl>
    <w:lvl w:ilvl="7" w:tentative="1">
      <w:numFmt w:val="bullet"/>
      <w:lvlText w:val=""/>
      <w:lvlJc w:val="left"/>
      <w:pPr>
        <w:tabs>
          <w:tab w:val="num" w:pos="3870"/>
        </w:tabs>
        <w:ind w:left="3870" w:hanging="360"/>
      </w:pPr>
      <w:rPr>
        <w:rFonts w:ascii="Wingdings" w:hAnsi="Wingdings" w:hint="default"/>
        <w:sz w:val="20"/>
      </w:rPr>
    </w:lvl>
    <w:lvl w:ilvl="8" w:tentative="1">
      <w:numFmt w:val="bullet"/>
      <w:lvlText w:val=""/>
      <w:lvlJc w:val="left"/>
      <w:pPr>
        <w:tabs>
          <w:tab w:val="num" w:pos="4590"/>
        </w:tabs>
        <w:ind w:left="4590" w:hanging="360"/>
      </w:pPr>
      <w:rPr>
        <w:rFonts w:ascii="Wingdings" w:hAnsi="Wingdings" w:hint="default"/>
        <w:sz w:val="20"/>
      </w:rPr>
    </w:lvl>
  </w:abstractNum>
  <w:abstractNum w:abstractNumId="7" w15:restartNumberingAfterBreak="0">
    <w:nsid w:val="5E0B239E"/>
    <w:multiLevelType w:val="multilevel"/>
    <w:tmpl w:val="1E1455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B0602"/>
    <w:multiLevelType w:val="multilevel"/>
    <w:tmpl w:val="40BE2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752B0"/>
    <w:multiLevelType w:val="multilevel"/>
    <w:tmpl w:val="E2EE46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F733D"/>
    <w:multiLevelType w:val="hybridMultilevel"/>
    <w:tmpl w:val="772C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B71A77"/>
    <w:multiLevelType w:val="multilevel"/>
    <w:tmpl w:val="E250C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912A6"/>
    <w:multiLevelType w:val="multilevel"/>
    <w:tmpl w:val="239679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0202B"/>
    <w:multiLevelType w:val="multilevel"/>
    <w:tmpl w:val="8452D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40991"/>
    <w:multiLevelType w:val="multilevel"/>
    <w:tmpl w:val="3CD295E2"/>
    <w:lvl w:ilvl="0">
      <w:start w:val="1"/>
      <w:numFmt w:val="bullet"/>
      <w:lvlText w:val=""/>
      <w:lvlJc w:val="left"/>
      <w:pPr>
        <w:tabs>
          <w:tab w:val="num" w:pos="-1170"/>
        </w:tabs>
        <w:ind w:left="-1170" w:hanging="360"/>
      </w:pPr>
      <w:rPr>
        <w:rFonts w:ascii="Symbol" w:hAnsi="Symbol" w:hint="default"/>
        <w:sz w:val="20"/>
      </w:rPr>
    </w:lvl>
    <w:lvl w:ilvl="1" w:tentative="1">
      <w:numFmt w:val="bullet"/>
      <w:lvlText w:val="o"/>
      <w:lvlJc w:val="left"/>
      <w:pPr>
        <w:tabs>
          <w:tab w:val="num" w:pos="-450"/>
        </w:tabs>
        <w:ind w:left="-450" w:hanging="360"/>
      </w:pPr>
      <w:rPr>
        <w:rFonts w:ascii="Courier New" w:hAnsi="Courier New" w:hint="default"/>
        <w:sz w:val="20"/>
      </w:rPr>
    </w:lvl>
    <w:lvl w:ilvl="2" w:tentative="1">
      <w:numFmt w:val="bullet"/>
      <w:lvlText w:val=""/>
      <w:lvlJc w:val="left"/>
      <w:pPr>
        <w:tabs>
          <w:tab w:val="num" w:pos="270"/>
        </w:tabs>
        <w:ind w:left="270" w:hanging="360"/>
      </w:pPr>
      <w:rPr>
        <w:rFonts w:ascii="Wingdings" w:hAnsi="Wingdings" w:hint="default"/>
        <w:sz w:val="20"/>
      </w:rPr>
    </w:lvl>
    <w:lvl w:ilvl="3" w:tentative="1">
      <w:numFmt w:val="bullet"/>
      <w:lvlText w:val=""/>
      <w:lvlJc w:val="left"/>
      <w:pPr>
        <w:tabs>
          <w:tab w:val="num" w:pos="990"/>
        </w:tabs>
        <w:ind w:left="990" w:hanging="360"/>
      </w:pPr>
      <w:rPr>
        <w:rFonts w:ascii="Wingdings" w:hAnsi="Wingdings" w:hint="default"/>
        <w:sz w:val="20"/>
      </w:rPr>
    </w:lvl>
    <w:lvl w:ilvl="4" w:tentative="1">
      <w:numFmt w:val="bullet"/>
      <w:lvlText w:val=""/>
      <w:lvlJc w:val="left"/>
      <w:pPr>
        <w:tabs>
          <w:tab w:val="num" w:pos="1710"/>
        </w:tabs>
        <w:ind w:left="1710" w:hanging="360"/>
      </w:pPr>
      <w:rPr>
        <w:rFonts w:ascii="Wingdings" w:hAnsi="Wingdings" w:hint="default"/>
        <w:sz w:val="20"/>
      </w:rPr>
    </w:lvl>
    <w:lvl w:ilvl="5" w:tentative="1">
      <w:numFmt w:val="bullet"/>
      <w:lvlText w:val=""/>
      <w:lvlJc w:val="left"/>
      <w:pPr>
        <w:tabs>
          <w:tab w:val="num" w:pos="2430"/>
        </w:tabs>
        <w:ind w:left="2430" w:hanging="360"/>
      </w:pPr>
      <w:rPr>
        <w:rFonts w:ascii="Wingdings" w:hAnsi="Wingdings" w:hint="default"/>
        <w:sz w:val="20"/>
      </w:rPr>
    </w:lvl>
    <w:lvl w:ilvl="6" w:tentative="1">
      <w:numFmt w:val="bullet"/>
      <w:lvlText w:val=""/>
      <w:lvlJc w:val="left"/>
      <w:pPr>
        <w:tabs>
          <w:tab w:val="num" w:pos="3150"/>
        </w:tabs>
        <w:ind w:left="3150" w:hanging="360"/>
      </w:pPr>
      <w:rPr>
        <w:rFonts w:ascii="Wingdings" w:hAnsi="Wingdings" w:hint="default"/>
        <w:sz w:val="20"/>
      </w:rPr>
    </w:lvl>
    <w:lvl w:ilvl="7" w:tentative="1">
      <w:numFmt w:val="bullet"/>
      <w:lvlText w:val=""/>
      <w:lvlJc w:val="left"/>
      <w:pPr>
        <w:tabs>
          <w:tab w:val="num" w:pos="3870"/>
        </w:tabs>
        <w:ind w:left="3870" w:hanging="360"/>
      </w:pPr>
      <w:rPr>
        <w:rFonts w:ascii="Wingdings" w:hAnsi="Wingdings" w:hint="default"/>
        <w:sz w:val="20"/>
      </w:rPr>
    </w:lvl>
    <w:lvl w:ilvl="8" w:tentative="1">
      <w:numFmt w:val="bullet"/>
      <w:lvlText w:val=""/>
      <w:lvlJc w:val="left"/>
      <w:pPr>
        <w:tabs>
          <w:tab w:val="num" w:pos="4590"/>
        </w:tabs>
        <w:ind w:left="4590" w:hanging="360"/>
      </w:pPr>
      <w:rPr>
        <w:rFonts w:ascii="Wingdings" w:hAnsi="Wingdings" w:hint="default"/>
        <w:sz w:val="20"/>
      </w:rPr>
    </w:lvl>
  </w:abstractNum>
  <w:abstractNum w:abstractNumId="15" w15:restartNumberingAfterBreak="0">
    <w:nsid w:val="72811656"/>
    <w:multiLevelType w:val="multilevel"/>
    <w:tmpl w:val="103E6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0"/>
        </w:tabs>
        <w:ind w:left="0" w:hanging="360"/>
      </w:pPr>
      <w:rPr>
        <w:rFonts w:ascii="Courier New" w:hAnsi="Courier New" w:hint="default"/>
        <w:sz w:val="20"/>
      </w:rPr>
    </w:lvl>
    <w:lvl w:ilvl="2" w:tentative="1">
      <w:numFmt w:val="bullet"/>
      <w:lvlText w:val=""/>
      <w:lvlJc w:val="left"/>
      <w:pPr>
        <w:tabs>
          <w:tab w:val="num" w:pos="720"/>
        </w:tabs>
        <w:ind w:left="720" w:hanging="360"/>
      </w:pPr>
      <w:rPr>
        <w:rFonts w:ascii="Wingdings" w:hAnsi="Wingdings" w:hint="default"/>
        <w:sz w:val="20"/>
      </w:rPr>
    </w:lvl>
    <w:lvl w:ilvl="3" w:tentative="1">
      <w:numFmt w:val="bullet"/>
      <w:lvlText w:val=""/>
      <w:lvlJc w:val="left"/>
      <w:pPr>
        <w:tabs>
          <w:tab w:val="num" w:pos="1440"/>
        </w:tabs>
        <w:ind w:left="1440" w:hanging="360"/>
      </w:pPr>
      <w:rPr>
        <w:rFonts w:ascii="Wingdings" w:hAnsi="Wingdings" w:hint="default"/>
        <w:sz w:val="20"/>
      </w:rPr>
    </w:lvl>
    <w:lvl w:ilvl="4" w:tentative="1">
      <w:numFmt w:val="bullet"/>
      <w:lvlText w:val=""/>
      <w:lvlJc w:val="left"/>
      <w:pPr>
        <w:tabs>
          <w:tab w:val="num" w:pos="2160"/>
        </w:tabs>
        <w:ind w:left="2160" w:hanging="360"/>
      </w:pPr>
      <w:rPr>
        <w:rFonts w:ascii="Wingdings" w:hAnsi="Wingdings" w:hint="default"/>
        <w:sz w:val="20"/>
      </w:rPr>
    </w:lvl>
    <w:lvl w:ilvl="5" w:tentative="1">
      <w:numFmt w:val="bullet"/>
      <w:lvlText w:val=""/>
      <w:lvlJc w:val="left"/>
      <w:pPr>
        <w:tabs>
          <w:tab w:val="num" w:pos="2880"/>
        </w:tabs>
        <w:ind w:left="2880" w:hanging="360"/>
      </w:pPr>
      <w:rPr>
        <w:rFonts w:ascii="Wingdings" w:hAnsi="Wingdings" w:hint="default"/>
        <w:sz w:val="20"/>
      </w:rPr>
    </w:lvl>
    <w:lvl w:ilvl="6" w:tentative="1">
      <w:numFmt w:val="bullet"/>
      <w:lvlText w:val=""/>
      <w:lvlJc w:val="left"/>
      <w:pPr>
        <w:tabs>
          <w:tab w:val="num" w:pos="3600"/>
        </w:tabs>
        <w:ind w:left="3600" w:hanging="360"/>
      </w:pPr>
      <w:rPr>
        <w:rFonts w:ascii="Wingdings" w:hAnsi="Wingdings" w:hint="default"/>
        <w:sz w:val="20"/>
      </w:rPr>
    </w:lvl>
    <w:lvl w:ilvl="7" w:tentative="1">
      <w:numFmt w:val="bullet"/>
      <w:lvlText w:val=""/>
      <w:lvlJc w:val="left"/>
      <w:pPr>
        <w:tabs>
          <w:tab w:val="num" w:pos="4320"/>
        </w:tabs>
        <w:ind w:left="4320" w:hanging="360"/>
      </w:pPr>
      <w:rPr>
        <w:rFonts w:ascii="Wingdings" w:hAnsi="Wingdings" w:hint="default"/>
        <w:sz w:val="20"/>
      </w:rPr>
    </w:lvl>
    <w:lvl w:ilvl="8" w:tentative="1">
      <w:numFmt w:val="bullet"/>
      <w:lvlText w:val=""/>
      <w:lvlJc w:val="left"/>
      <w:pPr>
        <w:tabs>
          <w:tab w:val="num" w:pos="5040"/>
        </w:tabs>
        <w:ind w:left="5040" w:hanging="360"/>
      </w:pPr>
      <w:rPr>
        <w:rFonts w:ascii="Wingdings" w:hAnsi="Wingdings" w:hint="default"/>
        <w:sz w:val="20"/>
      </w:rPr>
    </w:lvl>
  </w:abstractNum>
  <w:abstractNum w:abstractNumId="16" w15:restartNumberingAfterBreak="0">
    <w:nsid w:val="78D14941"/>
    <w:multiLevelType w:val="multilevel"/>
    <w:tmpl w:val="1AEE6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8106535">
    <w:abstractNumId w:val="0"/>
  </w:num>
  <w:num w:numId="2" w16cid:durableId="1184320583">
    <w:abstractNumId w:val="5"/>
  </w:num>
  <w:num w:numId="3" w16cid:durableId="27335629">
    <w:abstractNumId w:val="16"/>
  </w:num>
  <w:num w:numId="4" w16cid:durableId="1180001394">
    <w:abstractNumId w:val="12"/>
  </w:num>
  <w:num w:numId="5" w16cid:durableId="1175805579">
    <w:abstractNumId w:val="8"/>
  </w:num>
  <w:num w:numId="6" w16cid:durableId="1046877793">
    <w:abstractNumId w:val="2"/>
  </w:num>
  <w:num w:numId="7" w16cid:durableId="1081676550">
    <w:abstractNumId w:val="3"/>
  </w:num>
  <w:num w:numId="8" w16cid:durableId="1897660601">
    <w:abstractNumId w:val="13"/>
  </w:num>
  <w:num w:numId="9" w16cid:durableId="1940210669">
    <w:abstractNumId w:val="9"/>
  </w:num>
  <w:num w:numId="10" w16cid:durableId="602960972">
    <w:abstractNumId w:val="11"/>
  </w:num>
  <w:num w:numId="11" w16cid:durableId="1745226556">
    <w:abstractNumId w:val="14"/>
  </w:num>
  <w:num w:numId="12" w16cid:durableId="493226171">
    <w:abstractNumId w:val="6"/>
  </w:num>
  <w:num w:numId="13" w16cid:durableId="701326473">
    <w:abstractNumId w:val="15"/>
  </w:num>
  <w:num w:numId="14" w16cid:durableId="760486094">
    <w:abstractNumId w:val="7"/>
  </w:num>
  <w:num w:numId="15" w16cid:durableId="1518156206">
    <w:abstractNumId w:val="4"/>
  </w:num>
  <w:num w:numId="16" w16cid:durableId="18625281">
    <w:abstractNumId w:val="10"/>
  </w:num>
  <w:num w:numId="17" w16cid:durableId="186647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B3"/>
    <w:rsid w:val="00001069"/>
    <w:rsid w:val="000019ED"/>
    <w:rsid w:val="00003150"/>
    <w:rsid w:val="00010A4C"/>
    <w:rsid w:val="00012FB9"/>
    <w:rsid w:val="00021CC2"/>
    <w:rsid w:val="00024C88"/>
    <w:rsid w:val="00030377"/>
    <w:rsid w:val="00035492"/>
    <w:rsid w:val="000409A1"/>
    <w:rsid w:val="00040A3F"/>
    <w:rsid w:val="000569F3"/>
    <w:rsid w:val="00060AC6"/>
    <w:rsid w:val="00072976"/>
    <w:rsid w:val="00075661"/>
    <w:rsid w:val="00082896"/>
    <w:rsid w:val="0008611E"/>
    <w:rsid w:val="000A050B"/>
    <w:rsid w:val="000B09AB"/>
    <w:rsid w:val="000B206F"/>
    <w:rsid w:val="000B3807"/>
    <w:rsid w:val="000C4CF3"/>
    <w:rsid w:val="000E26D3"/>
    <w:rsid w:val="000E44FC"/>
    <w:rsid w:val="000F6B63"/>
    <w:rsid w:val="000F7F36"/>
    <w:rsid w:val="00104A3A"/>
    <w:rsid w:val="00106C81"/>
    <w:rsid w:val="00110ABE"/>
    <w:rsid w:val="0012394C"/>
    <w:rsid w:val="001273D2"/>
    <w:rsid w:val="0015372C"/>
    <w:rsid w:val="00164B7D"/>
    <w:rsid w:val="00172654"/>
    <w:rsid w:val="00180CD5"/>
    <w:rsid w:val="0018205E"/>
    <w:rsid w:val="001938F9"/>
    <w:rsid w:val="001C680A"/>
    <w:rsid w:val="001E7F33"/>
    <w:rsid w:val="001F1C84"/>
    <w:rsid w:val="001F3918"/>
    <w:rsid w:val="001F3CBD"/>
    <w:rsid w:val="001F5A89"/>
    <w:rsid w:val="001F7CF7"/>
    <w:rsid w:val="00202FC6"/>
    <w:rsid w:val="00216BE2"/>
    <w:rsid w:val="0023135B"/>
    <w:rsid w:val="00243879"/>
    <w:rsid w:val="00250470"/>
    <w:rsid w:val="002521EB"/>
    <w:rsid w:val="002550CA"/>
    <w:rsid w:val="00262FA4"/>
    <w:rsid w:val="00275F8A"/>
    <w:rsid w:val="00276B2E"/>
    <w:rsid w:val="0028109C"/>
    <w:rsid w:val="0028489B"/>
    <w:rsid w:val="002952F8"/>
    <w:rsid w:val="002A64AF"/>
    <w:rsid w:val="002C6E2F"/>
    <w:rsid w:val="002D367F"/>
    <w:rsid w:val="002D4AD4"/>
    <w:rsid w:val="002D599B"/>
    <w:rsid w:val="002D6FAD"/>
    <w:rsid w:val="002E0BE0"/>
    <w:rsid w:val="002E4CC0"/>
    <w:rsid w:val="003001D6"/>
    <w:rsid w:val="00312F58"/>
    <w:rsid w:val="0031530D"/>
    <w:rsid w:val="00316CBD"/>
    <w:rsid w:val="00317FA5"/>
    <w:rsid w:val="0032398E"/>
    <w:rsid w:val="003273DA"/>
    <w:rsid w:val="00327451"/>
    <w:rsid w:val="00341648"/>
    <w:rsid w:val="003518C7"/>
    <w:rsid w:val="00373519"/>
    <w:rsid w:val="00376866"/>
    <w:rsid w:val="00385446"/>
    <w:rsid w:val="00385B29"/>
    <w:rsid w:val="003919E5"/>
    <w:rsid w:val="003974B2"/>
    <w:rsid w:val="003A136E"/>
    <w:rsid w:val="003A3871"/>
    <w:rsid w:val="003B18BB"/>
    <w:rsid w:val="003C0D5F"/>
    <w:rsid w:val="003C0FFE"/>
    <w:rsid w:val="003C526D"/>
    <w:rsid w:val="003F3F86"/>
    <w:rsid w:val="00411D02"/>
    <w:rsid w:val="0041292E"/>
    <w:rsid w:val="00420C0E"/>
    <w:rsid w:val="00422B71"/>
    <w:rsid w:val="004245F9"/>
    <w:rsid w:val="00434303"/>
    <w:rsid w:val="00444DEE"/>
    <w:rsid w:val="00445AE0"/>
    <w:rsid w:val="00456608"/>
    <w:rsid w:val="004603F0"/>
    <w:rsid w:val="00462689"/>
    <w:rsid w:val="0047198C"/>
    <w:rsid w:val="00473A98"/>
    <w:rsid w:val="004743EA"/>
    <w:rsid w:val="00477BEF"/>
    <w:rsid w:val="004801D6"/>
    <w:rsid w:val="00481B97"/>
    <w:rsid w:val="004832C2"/>
    <w:rsid w:val="00483C89"/>
    <w:rsid w:val="004840E6"/>
    <w:rsid w:val="00495C79"/>
    <w:rsid w:val="00496D46"/>
    <w:rsid w:val="004B3BC2"/>
    <w:rsid w:val="004D5A4D"/>
    <w:rsid w:val="004E2B65"/>
    <w:rsid w:val="004E4CC2"/>
    <w:rsid w:val="004F03B6"/>
    <w:rsid w:val="004F3113"/>
    <w:rsid w:val="005011FE"/>
    <w:rsid w:val="00506E2C"/>
    <w:rsid w:val="00510942"/>
    <w:rsid w:val="005130C8"/>
    <w:rsid w:val="0052764E"/>
    <w:rsid w:val="00535856"/>
    <w:rsid w:val="00551195"/>
    <w:rsid w:val="00563E86"/>
    <w:rsid w:val="00566915"/>
    <w:rsid w:val="005877CA"/>
    <w:rsid w:val="005A194C"/>
    <w:rsid w:val="005A7088"/>
    <w:rsid w:val="005B48FB"/>
    <w:rsid w:val="005C5DAA"/>
    <w:rsid w:val="005D240C"/>
    <w:rsid w:val="005F1293"/>
    <w:rsid w:val="00601ED7"/>
    <w:rsid w:val="006047C3"/>
    <w:rsid w:val="00613ECB"/>
    <w:rsid w:val="00615766"/>
    <w:rsid w:val="00616892"/>
    <w:rsid w:val="00616DF8"/>
    <w:rsid w:val="00617CD9"/>
    <w:rsid w:val="00641857"/>
    <w:rsid w:val="00650BCF"/>
    <w:rsid w:val="00652ABC"/>
    <w:rsid w:val="0066342C"/>
    <w:rsid w:val="0068354B"/>
    <w:rsid w:val="00685C03"/>
    <w:rsid w:val="00687D25"/>
    <w:rsid w:val="006A561A"/>
    <w:rsid w:val="006B135C"/>
    <w:rsid w:val="006B57FC"/>
    <w:rsid w:val="006E37BC"/>
    <w:rsid w:val="006E7524"/>
    <w:rsid w:val="006F504E"/>
    <w:rsid w:val="006F6F89"/>
    <w:rsid w:val="00700E7B"/>
    <w:rsid w:val="00705CEE"/>
    <w:rsid w:val="00711A3D"/>
    <w:rsid w:val="00726911"/>
    <w:rsid w:val="00747FE8"/>
    <w:rsid w:val="00784FC5"/>
    <w:rsid w:val="0079698B"/>
    <w:rsid w:val="00797595"/>
    <w:rsid w:val="007A48FC"/>
    <w:rsid w:val="007A53DB"/>
    <w:rsid w:val="007C0002"/>
    <w:rsid w:val="007C0EE4"/>
    <w:rsid w:val="007E159E"/>
    <w:rsid w:val="007F5540"/>
    <w:rsid w:val="00800A45"/>
    <w:rsid w:val="00801C2E"/>
    <w:rsid w:val="00802363"/>
    <w:rsid w:val="00802ED2"/>
    <w:rsid w:val="0081304E"/>
    <w:rsid w:val="008137BE"/>
    <w:rsid w:val="00816330"/>
    <w:rsid w:val="00824695"/>
    <w:rsid w:val="00834065"/>
    <w:rsid w:val="008423EF"/>
    <w:rsid w:val="00843C1D"/>
    <w:rsid w:val="008469A7"/>
    <w:rsid w:val="0085691A"/>
    <w:rsid w:val="00867A7D"/>
    <w:rsid w:val="00874778"/>
    <w:rsid w:val="0087494D"/>
    <w:rsid w:val="0088578F"/>
    <w:rsid w:val="008A313E"/>
    <w:rsid w:val="008B6E8C"/>
    <w:rsid w:val="008C72B2"/>
    <w:rsid w:val="008D3F17"/>
    <w:rsid w:val="008E5CAA"/>
    <w:rsid w:val="008E7B9B"/>
    <w:rsid w:val="008F1B59"/>
    <w:rsid w:val="00910586"/>
    <w:rsid w:val="0091547B"/>
    <w:rsid w:val="00933BFF"/>
    <w:rsid w:val="00944B43"/>
    <w:rsid w:val="00945698"/>
    <w:rsid w:val="00990666"/>
    <w:rsid w:val="009A0980"/>
    <w:rsid w:val="009A0D88"/>
    <w:rsid w:val="009A3437"/>
    <w:rsid w:val="009A73A6"/>
    <w:rsid w:val="009B212A"/>
    <w:rsid w:val="009B3372"/>
    <w:rsid w:val="009B47A1"/>
    <w:rsid w:val="009B4EC8"/>
    <w:rsid w:val="009B6003"/>
    <w:rsid w:val="009B6A56"/>
    <w:rsid w:val="009D478E"/>
    <w:rsid w:val="009E5A38"/>
    <w:rsid w:val="00A0061F"/>
    <w:rsid w:val="00A0095B"/>
    <w:rsid w:val="00A12F21"/>
    <w:rsid w:val="00A15EED"/>
    <w:rsid w:val="00A213B1"/>
    <w:rsid w:val="00A2218A"/>
    <w:rsid w:val="00A225F0"/>
    <w:rsid w:val="00A226E2"/>
    <w:rsid w:val="00A40AEF"/>
    <w:rsid w:val="00A416E8"/>
    <w:rsid w:val="00A43873"/>
    <w:rsid w:val="00A45898"/>
    <w:rsid w:val="00A51B71"/>
    <w:rsid w:val="00A51C34"/>
    <w:rsid w:val="00A54EEB"/>
    <w:rsid w:val="00A63090"/>
    <w:rsid w:val="00A66AB2"/>
    <w:rsid w:val="00A7118E"/>
    <w:rsid w:val="00A80C63"/>
    <w:rsid w:val="00A81FC1"/>
    <w:rsid w:val="00A91B1D"/>
    <w:rsid w:val="00AA0DB8"/>
    <w:rsid w:val="00AA1B99"/>
    <w:rsid w:val="00AA77DA"/>
    <w:rsid w:val="00AD6C1C"/>
    <w:rsid w:val="00AF0267"/>
    <w:rsid w:val="00AF0F9F"/>
    <w:rsid w:val="00AF2C43"/>
    <w:rsid w:val="00B24442"/>
    <w:rsid w:val="00B42BB5"/>
    <w:rsid w:val="00B436B7"/>
    <w:rsid w:val="00B520C6"/>
    <w:rsid w:val="00B56CB0"/>
    <w:rsid w:val="00B800D3"/>
    <w:rsid w:val="00B90B68"/>
    <w:rsid w:val="00B95E7C"/>
    <w:rsid w:val="00B971DC"/>
    <w:rsid w:val="00BA1370"/>
    <w:rsid w:val="00BA66EE"/>
    <w:rsid w:val="00BB4213"/>
    <w:rsid w:val="00BB7E25"/>
    <w:rsid w:val="00BC118A"/>
    <w:rsid w:val="00BC4047"/>
    <w:rsid w:val="00BC415E"/>
    <w:rsid w:val="00BC6FCF"/>
    <w:rsid w:val="00BC7E59"/>
    <w:rsid w:val="00BD08B2"/>
    <w:rsid w:val="00BD09B0"/>
    <w:rsid w:val="00BD09B3"/>
    <w:rsid w:val="00BF0EFC"/>
    <w:rsid w:val="00BF1B53"/>
    <w:rsid w:val="00C00C85"/>
    <w:rsid w:val="00C2051D"/>
    <w:rsid w:val="00C25151"/>
    <w:rsid w:val="00C25375"/>
    <w:rsid w:val="00C25BC9"/>
    <w:rsid w:val="00C35074"/>
    <w:rsid w:val="00C5464D"/>
    <w:rsid w:val="00C744F9"/>
    <w:rsid w:val="00C777F9"/>
    <w:rsid w:val="00C8666C"/>
    <w:rsid w:val="00C90564"/>
    <w:rsid w:val="00C91407"/>
    <w:rsid w:val="00CA0223"/>
    <w:rsid w:val="00CA1B37"/>
    <w:rsid w:val="00CA397A"/>
    <w:rsid w:val="00CB136B"/>
    <w:rsid w:val="00CB424D"/>
    <w:rsid w:val="00CD315A"/>
    <w:rsid w:val="00CE03F5"/>
    <w:rsid w:val="00CE28DD"/>
    <w:rsid w:val="00CF081E"/>
    <w:rsid w:val="00D132E4"/>
    <w:rsid w:val="00D17BB9"/>
    <w:rsid w:val="00D22C15"/>
    <w:rsid w:val="00D30299"/>
    <w:rsid w:val="00D33B43"/>
    <w:rsid w:val="00D5390E"/>
    <w:rsid w:val="00D65879"/>
    <w:rsid w:val="00D66952"/>
    <w:rsid w:val="00D74F4D"/>
    <w:rsid w:val="00D74FB7"/>
    <w:rsid w:val="00D7733B"/>
    <w:rsid w:val="00D77FBA"/>
    <w:rsid w:val="00D915F2"/>
    <w:rsid w:val="00DA671F"/>
    <w:rsid w:val="00DB3B51"/>
    <w:rsid w:val="00DC02BD"/>
    <w:rsid w:val="00DC151B"/>
    <w:rsid w:val="00DC68B8"/>
    <w:rsid w:val="00DE50E7"/>
    <w:rsid w:val="00DF4C9E"/>
    <w:rsid w:val="00E03B48"/>
    <w:rsid w:val="00E043D1"/>
    <w:rsid w:val="00E04480"/>
    <w:rsid w:val="00E103F5"/>
    <w:rsid w:val="00E11A92"/>
    <w:rsid w:val="00E1370B"/>
    <w:rsid w:val="00E300F6"/>
    <w:rsid w:val="00E41EAB"/>
    <w:rsid w:val="00E4225C"/>
    <w:rsid w:val="00E47629"/>
    <w:rsid w:val="00E51397"/>
    <w:rsid w:val="00E52524"/>
    <w:rsid w:val="00E7489F"/>
    <w:rsid w:val="00E74B70"/>
    <w:rsid w:val="00E91E30"/>
    <w:rsid w:val="00E94523"/>
    <w:rsid w:val="00EA35A1"/>
    <w:rsid w:val="00EB6494"/>
    <w:rsid w:val="00EC0838"/>
    <w:rsid w:val="00EC642F"/>
    <w:rsid w:val="00EE4545"/>
    <w:rsid w:val="00EE5A19"/>
    <w:rsid w:val="00EE7A44"/>
    <w:rsid w:val="00EF2167"/>
    <w:rsid w:val="00F05E55"/>
    <w:rsid w:val="00F105C4"/>
    <w:rsid w:val="00F20B36"/>
    <w:rsid w:val="00F30B23"/>
    <w:rsid w:val="00F31F86"/>
    <w:rsid w:val="00F452A7"/>
    <w:rsid w:val="00F6622F"/>
    <w:rsid w:val="00F8107B"/>
    <w:rsid w:val="00F90351"/>
    <w:rsid w:val="00F955BA"/>
    <w:rsid w:val="00FC0905"/>
    <w:rsid w:val="00FC273B"/>
    <w:rsid w:val="00FD35D2"/>
    <w:rsid w:val="00FD5F24"/>
    <w:rsid w:val="00FD608F"/>
    <w:rsid w:val="00FE350D"/>
    <w:rsid w:val="00FE3A36"/>
    <w:rsid w:val="00FE4D68"/>
    <w:rsid w:val="00FF084B"/>
    <w:rsid w:val="00FF265E"/>
    <w:rsid w:val="01A986D7"/>
    <w:rsid w:val="02759ABA"/>
    <w:rsid w:val="06415CF7"/>
    <w:rsid w:val="07A363CA"/>
    <w:rsid w:val="0897A8F0"/>
    <w:rsid w:val="09B24943"/>
    <w:rsid w:val="0A534B7C"/>
    <w:rsid w:val="0DF89C9F"/>
    <w:rsid w:val="0EE6A29C"/>
    <w:rsid w:val="0F4749AF"/>
    <w:rsid w:val="1000A871"/>
    <w:rsid w:val="1355E164"/>
    <w:rsid w:val="1A6C1A08"/>
    <w:rsid w:val="1CD73448"/>
    <w:rsid w:val="1D721A48"/>
    <w:rsid w:val="1E268399"/>
    <w:rsid w:val="205DB8F5"/>
    <w:rsid w:val="207D614F"/>
    <w:rsid w:val="26416B85"/>
    <w:rsid w:val="268EF7FE"/>
    <w:rsid w:val="26B891F3"/>
    <w:rsid w:val="2A5C5E7D"/>
    <w:rsid w:val="2CA4FFC3"/>
    <w:rsid w:val="2F6A26D7"/>
    <w:rsid w:val="30149A26"/>
    <w:rsid w:val="3041AB48"/>
    <w:rsid w:val="327B9716"/>
    <w:rsid w:val="366491A9"/>
    <w:rsid w:val="3EED75E4"/>
    <w:rsid w:val="40D147A3"/>
    <w:rsid w:val="4172F667"/>
    <w:rsid w:val="47E55FD4"/>
    <w:rsid w:val="4A70F610"/>
    <w:rsid w:val="4CDEF507"/>
    <w:rsid w:val="4EA94F50"/>
    <w:rsid w:val="4EEABA5B"/>
    <w:rsid w:val="4F5FAB67"/>
    <w:rsid w:val="52878FCB"/>
    <w:rsid w:val="52DC81B6"/>
    <w:rsid w:val="537D866E"/>
    <w:rsid w:val="56F39FC7"/>
    <w:rsid w:val="58E96E59"/>
    <w:rsid w:val="5941F66A"/>
    <w:rsid w:val="5946E8E6"/>
    <w:rsid w:val="598B5DBB"/>
    <w:rsid w:val="5CF509BE"/>
    <w:rsid w:val="5F93423C"/>
    <w:rsid w:val="65B738D4"/>
    <w:rsid w:val="6764EEFE"/>
    <w:rsid w:val="69EB247D"/>
    <w:rsid w:val="6B65A6BE"/>
    <w:rsid w:val="6C87A080"/>
    <w:rsid w:val="6DC1017C"/>
    <w:rsid w:val="72D3088E"/>
    <w:rsid w:val="7B612CE9"/>
    <w:rsid w:val="7EB47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F9F"/>
  <w15:chartTrackingRefBased/>
  <w15:docId w15:val="{69FE3EB6-4886-BF4E-A475-031895F7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D09B3"/>
    <w:pPr>
      <w:pBdr>
        <w:top w:val="nil"/>
        <w:left w:val="nil"/>
        <w:bottom w:val="nil"/>
        <w:right w:val="nil"/>
        <w:between w:val="nil"/>
        <w:bar w:val="nil"/>
      </w:pBdr>
      <w:spacing w:after="200" w:line="276" w:lineRule="auto"/>
    </w:pPr>
    <w:rPr>
      <w:rFonts w:cs="Calibri"/>
      <w:color w:val="000000"/>
      <w:sz w:val="22"/>
      <w:szCs w:val="22"/>
      <w:u w:color="000000"/>
      <w:bdr w:val="nil"/>
      <w:lang w:val="it-IT" w:eastAsia="en-GB"/>
    </w:rPr>
  </w:style>
  <w:style w:type="character" w:styleId="Hyperlink">
    <w:name w:val="Hyperlink"/>
    <w:uiPriority w:val="99"/>
    <w:unhideWhenUsed/>
    <w:rsid w:val="009B212A"/>
    <w:rPr>
      <w:color w:val="0563C1"/>
      <w:u w:val="single"/>
    </w:rPr>
  </w:style>
  <w:style w:type="character" w:styleId="UnresolvedMention">
    <w:name w:val="Unresolved Mention"/>
    <w:uiPriority w:val="99"/>
    <w:semiHidden/>
    <w:unhideWhenUsed/>
    <w:rsid w:val="009B212A"/>
    <w:rPr>
      <w:color w:val="605E5C"/>
      <w:shd w:val="clear" w:color="auto" w:fill="E1DFDD"/>
    </w:rPr>
  </w:style>
  <w:style w:type="paragraph" w:styleId="NoSpacing">
    <w:name w:val="No Spacing"/>
    <w:uiPriority w:val="1"/>
    <w:qFormat/>
    <w:rsid w:val="009B212A"/>
    <w:rPr>
      <w:sz w:val="22"/>
      <w:szCs w:val="22"/>
    </w:rPr>
  </w:style>
  <w:style w:type="character" w:styleId="CommentReference">
    <w:name w:val="annotation reference"/>
    <w:uiPriority w:val="99"/>
    <w:semiHidden/>
    <w:unhideWhenUsed/>
    <w:rsid w:val="00B436B7"/>
    <w:rPr>
      <w:sz w:val="16"/>
      <w:szCs w:val="16"/>
    </w:rPr>
  </w:style>
  <w:style w:type="paragraph" w:styleId="CommentText">
    <w:name w:val="annotation text"/>
    <w:basedOn w:val="Normal"/>
    <w:link w:val="CommentTextChar"/>
    <w:uiPriority w:val="99"/>
    <w:unhideWhenUsed/>
    <w:rsid w:val="00B436B7"/>
    <w:pPr>
      <w:spacing w:line="240" w:lineRule="auto"/>
    </w:pPr>
    <w:rPr>
      <w:sz w:val="20"/>
      <w:szCs w:val="20"/>
    </w:rPr>
  </w:style>
  <w:style w:type="character" w:customStyle="1" w:styleId="CommentTextChar">
    <w:name w:val="Comment Text Char"/>
    <w:link w:val="CommentText"/>
    <w:uiPriority w:val="99"/>
    <w:rsid w:val="00B436B7"/>
    <w:rPr>
      <w:sz w:val="20"/>
      <w:szCs w:val="20"/>
    </w:rPr>
  </w:style>
  <w:style w:type="paragraph" w:styleId="CommentSubject">
    <w:name w:val="annotation subject"/>
    <w:basedOn w:val="CommentText"/>
    <w:next w:val="CommentText"/>
    <w:link w:val="CommentSubjectChar"/>
    <w:uiPriority w:val="99"/>
    <w:semiHidden/>
    <w:unhideWhenUsed/>
    <w:rsid w:val="00B436B7"/>
    <w:rPr>
      <w:b/>
      <w:bCs/>
    </w:rPr>
  </w:style>
  <w:style w:type="character" w:customStyle="1" w:styleId="CommentSubjectChar">
    <w:name w:val="Comment Subject Char"/>
    <w:link w:val="CommentSubject"/>
    <w:uiPriority w:val="99"/>
    <w:semiHidden/>
    <w:rsid w:val="00B436B7"/>
    <w:rPr>
      <w:b/>
      <w:bCs/>
      <w:sz w:val="20"/>
      <w:szCs w:val="20"/>
    </w:rPr>
  </w:style>
  <w:style w:type="character" w:styleId="FollowedHyperlink">
    <w:name w:val="FollowedHyperlink"/>
    <w:uiPriority w:val="99"/>
    <w:semiHidden/>
    <w:unhideWhenUsed/>
    <w:rsid w:val="003A3871"/>
    <w:rPr>
      <w:color w:val="954F72"/>
      <w:u w:val="single"/>
    </w:rPr>
  </w:style>
  <w:style w:type="paragraph" w:styleId="Revision">
    <w:name w:val="Revision"/>
    <w:hidden/>
    <w:uiPriority w:val="99"/>
    <w:semiHidden/>
    <w:rsid w:val="00700E7B"/>
    <w:rPr>
      <w:sz w:val="22"/>
      <w:szCs w:val="22"/>
    </w:rPr>
  </w:style>
  <w:style w:type="paragraph" w:styleId="NormalWeb">
    <w:name w:val="Normal (Web)"/>
    <w:basedOn w:val="Normal"/>
    <w:uiPriority w:val="99"/>
    <w:unhideWhenUsed/>
    <w:rsid w:val="00E47629"/>
    <w:pPr>
      <w:spacing w:before="100" w:beforeAutospacing="1" w:after="100" w:afterAutospacing="1" w:line="240" w:lineRule="auto"/>
    </w:pPr>
    <w:rPr>
      <w:rFonts w:ascii="Times New Roman" w:eastAsia="Times New Roman" w:hAnsi="Times New Roman"/>
      <w:sz w:val="24"/>
      <w:szCs w:val="24"/>
    </w:rPr>
  </w:style>
  <w:style w:type="character" w:styleId="LineNumber">
    <w:name w:val="line number"/>
    <w:basedOn w:val="DefaultParagraphFont"/>
    <w:uiPriority w:val="99"/>
    <w:semiHidden/>
    <w:unhideWhenUsed/>
    <w:rsid w:val="00CA397A"/>
  </w:style>
  <w:style w:type="paragraph" w:styleId="Header">
    <w:name w:val="header"/>
    <w:basedOn w:val="Normal"/>
    <w:link w:val="HeaderChar"/>
    <w:uiPriority w:val="99"/>
    <w:unhideWhenUsed/>
    <w:rsid w:val="0002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CC2"/>
  </w:style>
  <w:style w:type="paragraph" w:styleId="Footer">
    <w:name w:val="footer"/>
    <w:basedOn w:val="Normal"/>
    <w:link w:val="FooterChar"/>
    <w:uiPriority w:val="99"/>
    <w:unhideWhenUsed/>
    <w:rsid w:val="0002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CC2"/>
  </w:style>
  <w:style w:type="character" w:styleId="Strong">
    <w:name w:val="Strong"/>
    <w:uiPriority w:val="22"/>
    <w:qFormat/>
    <w:rsid w:val="00506E2C"/>
    <w:rPr>
      <w:b/>
      <w:bCs/>
    </w:rPr>
  </w:style>
  <w:style w:type="paragraph" w:customStyle="1" w:styleId="p1">
    <w:name w:val="p1"/>
    <w:basedOn w:val="Normal"/>
    <w:rsid w:val="00506E2C"/>
    <w:pPr>
      <w:spacing w:after="0" w:line="240" w:lineRule="auto"/>
    </w:pPr>
    <w:rPr>
      <w:rFonts w:ascii="Helvetica" w:eastAsia="Times New Roman" w:hAnsi="Helvetica"/>
      <w:color w:val="000000"/>
      <w:sz w:val="14"/>
      <w:szCs w:val="14"/>
    </w:rPr>
  </w:style>
  <w:style w:type="character" w:customStyle="1" w:styleId="apple-converted-space">
    <w:name w:val="apple-converted-space"/>
    <w:basedOn w:val="DefaultParagraphFont"/>
    <w:rsid w:val="00202FC6"/>
  </w:style>
  <w:style w:type="character" w:styleId="Emphasis">
    <w:name w:val="Emphasis"/>
    <w:uiPriority w:val="20"/>
    <w:qFormat/>
    <w:rsid w:val="00202F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7538">
      <w:bodyDiv w:val="1"/>
      <w:marLeft w:val="0"/>
      <w:marRight w:val="0"/>
      <w:marTop w:val="0"/>
      <w:marBottom w:val="0"/>
      <w:divBdr>
        <w:top w:val="none" w:sz="0" w:space="0" w:color="auto"/>
        <w:left w:val="none" w:sz="0" w:space="0" w:color="auto"/>
        <w:bottom w:val="none" w:sz="0" w:space="0" w:color="auto"/>
        <w:right w:val="none" w:sz="0" w:space="0" w:color="auto"/>
      </w:divBdr>
    </w:div>
    <w:div w:id="337773862">
      <w:bodyDiv w:val="1"/>
      <w:marLeft w:val="0"/>
      <w:marRight w:val="0"/>
      <w:marTop w:val="0"/>
      <w:marBottom w:val="0"/>
      <w:divBdr>
        <w:top w:val="none" w:sz="0" w:space="0" w:color="auto"/>
        <w:left w:val="none" w:sz="0" w:space="0" w:color="auto"/>
        <w:bottom w:val="none" w:sz="0" w:space="0" w:color="auto"/>
        <w:right w:val="none" w:sz="0" w:space="0" w:color="auto"/>
      </w:divBdr>
    </w:div>
    <w:div w:id="185075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anlaar@csustan.edu" TargetMode="External"/><Relationship Id="rId13" Type="http://schemas.openxmlformats.org/officeDocument/2006/relationships/hyperlink" Target="https://ror.org/04xm1d337" TargetMode="External"/><Relationship Id="rId18" Type="http://schemas.openxmlformats.org/officeDocument/2006/relationships/hyperlink" Target="https://doi.org/10.1186/s40793-015-0077-y" TargetMode="External"/><Relationship Id="rId3" Type="http://schemas.openxmlformats.org/officeDocument/2006/relationships/settings" Target="settings.xml"/><Relationship Id="rId21" Type="http://schemas.openxmlformats.org/officeDocument/2006/relationships/hyperlink" Target="https://doi.org/10.1093/nar/gkad344" TargetMode="External"/><Relationship Id="rId7" Type="http://schemas.openxmlformats.org/officeDocument/2006/relationships/image" Target="media/image1.png"/><Relationship Id="rId12" Type="http://schemas.openxmlformats.org/officeDocument/2006/relationships/hyperlink" Target="https://img.jgi.doe.gov/cgi-bin/m/main.cgi?section=TaxonDetail&amp;page=taxonDetail&amp;taxon_oid=641736113" TargetMode="External"/><Relationship Id="rId17" Type="http://schemas.openxmlformats.org/officeDocument/2006/relationships/hyperlink" Target="https://doi.org/10.1073/pnas.1017351108"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github.com/lh3/wgsim" TargetMode="External"/><Relationship Id="rId20" Type="http://schemas.openxmlformats.org/officeDocument/2006/relationships/hyperlink" Target="https://doi.org/10.1093/nar/gky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sra/SRX206607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9/ijs.0.059447-0" TargetMode="External"/><Relationship Id="rId23" Type="http://schemas.openxmlformats.org/officeDocument/2006/relationships/fontTable" Target="fontTable.xml"/><Relationship Id="rId10" Type="http://schemas.openxmlformats.org/officeDocument/2006/relationships/hyperlink" Target="https://www.ncbi.nlm.nih.gov/nuccore/DS499552.1" TargetMode="External"/><Relationship Id="rId19" Type="http://schemas.openxmlformats.org/officeDocument/2006/relationships/hyperlink" Target="https://doi.org/10.1371/annotation/b84e1af7-c127-45c3-be22-76abd977600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anaerobe.2004.06.004"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Links>
    <vt:vector size="60" baseType="variant">
      <vt:variant>
        <vt:i4>7798901</vt:i4>
      </vt:variant>
      <vt:variant>
        <vt:i4>27</vt:i4>
      </vt:variant>
      <vt:variant>
        <vt:i4>0</vt:i4>
      </vt:variant>
      <vt:variant>
        <vt:i4>5</vt:i4>
      </vt:variant>
      <vt:variant>
        <vt:lpwstr>https://journals.asm.org/references</vt:lpwstr>
      </vt:variant>
      <vt:variant>
        <vt:lpwstr/>
      </vt:variant>
      <vt:variant>
        <vt:i4>3801142</vt:i4>
      </vt:variant>
      <vt:variant>
        <vt:i4>24</vt:i4>
      </vt:variant>
      <vt:variant>
        <vt:i4>0</vt:i4>
      </vt:variant>
      <vt:variant>
        <vt:i4>5</vt:i4>
      </vt:variant>
      <vt:variant>
        <vt:lpwstr>https://journals.asm.org/list-data-repositories</vt:lpwstr>
      </vt:variant>
      <vt:variant>
        <vt:lpwstr/>
      </vt:variant>
      <vt:variant>
        <vt:i4>69</vt:i4>
      </vt:variant>
      <vt:variant>
        <vt:i4>21</vt:i4>
      </vt:variant>
      <vt:variant>
        <vt:i4>0</vt:i4>
      </vt:variant>
      <vt:variant>
        <vt:i4>5</vt:i4>
      </vt:variant>
      <vt:variant>
        <vt:lpwstr>https://www.protocols.io/</vt:lpwstr>
      </vt:variant>
      <vt:variant>
        <vt:lpwstr/>
      </vt:variant>
      <vt:variant>
        <vt:i4>2359417</vt:i4>
      </vt:variant>
      <vt:variant>
        <vt:i4>18</vt:i4>
      </vt:variant>
      <vt:variant>
        <vt:i4>0</vt:i4>
      </vt:variant>
      <vt:variant>
        <vt:i4>5</vt:i4>
      </vt:variant>
      <vt:variant>
        <vt:lpwstr>https://journals.asm.org/publishing-ethics</vt:lpwstr>
      </vt:variant>
      <vt:variant>
        <vt:lpwstr/>
      </vt:variant>
      <vt:variant>
        <vt:i4>720984</vt:i4>
      </vt:variant>
      <vt:variant>
        <vt:i4>15</vt:i4>
      </vt:variant>
      <vt:variant>
        <vt:i4>0</vt:i4>
      </vt:variant>
      <vt:variant>
        <vt:i4>5</vt:i4>
      </vt:variant>
      <vt:variant>
        <vt:lpwstr>https://journals.asm.org/doi/10.1128/MRA.00763-20</vt:lpwstr>
      </vt:variant>
      <vt:variant>
        <vt:lpwstr/>
      </vt:variant>
      <vt:variant>
        <vt:i4>7536701</vt:i4>
      </vt:variant>
      <vt:variant>
        <vt:i4>12</vt:i4>
      </vt:variant>
      <vt:variant>
        <vt:i4>0</vt:i4>
      </vt:variant>
      <vt:variant>
        <vt:i4>5</vt:i4>
      </vt:variant>
      <vt:variant>
        <vt:lpwstr>https://journals.asm.org/doi/epub/10.1128/MRA.00763-20</vt:lpwstr>
      </vt:variant>
      <vt:variant>
        <vt:lpwstr/>
      </vt:variant>
      <vt:variant>
        <vt:i4>6750256</vt:i4>
      </vt:variant>
      <vt:variant>
        <vt:i4>9</vt:i4>
      </vt:variant>
      <vt:variant>
        <vt:i4>0</vt:i4>
      </vt:variant>
      <vt:variant>
        <vt:i4>5</vt:i4>
      </vt:variant>
      <vt:variant>
        <vt:lpwstr>https://journals.asm.org/pb-assets/pdf-text-excel-files/Sample_Title_Page-1611584010440.doc</vt:lpwstr>
      </vt:variant>
      <vt:variant>
        <vt:lpwstr/>
      </vt:variant>
      <vt:variant>
        <vt:i4>983070</vt:i4>
      </vt:variant>
      <vt:variant>
        <vt:i4>6</vt:i4>
      </vt:variant>
      <vt:variant>
        <vt:i4>0</vt:i4>
      </vt:variant>
      <vt:variant>
        <vt:i4>5</vt:i4>
      </vt:variant>
      <vt:variant>
        <vt:lpwstr>https://forms.office.com/Pages/ResponsePage.aspx?id=A2vijUeuKEq5zU0LQALVn7pSAh1g6nhAg423mrOHMiBURFBHWlJETTVITEE0UjhXOTBMSksyM1BXNC4u</vt:lpwstr>
      </vt:variant>
      <vt:variant>
        <vt:lpwstr/>
      </vt:variant>
      <vt:variant>
        <vt:i4>6684723</vt:i4>
      </vt:variant>
      <vt:variant>
        <vt:i4>3</vt:i4>
      </vt:variant>
      <vt:variant>
        <vt:i4>0</vt:i4>
      </vt:variant>
      <vt:variant>
        <vt:i4>5</vt:i4>
      </vt:variant>
      <vt:variant>
        <vt:lpwstr>https://journals.asm.org/pb-assets/pdf-text-excel-files/MRA-Author-Checklist-1603135453593.pdf</vt:lpwstr>
      </vt:variant>
      <vt:variant>
        <vt:lpwstr/>
      </vt:variant>
      <vt:variant>
        <vt:i4>7274555</vt:i4>
      </vt:variant>
      <vt:variant>
        <vt:i4>0</vt:i4>
      </vt:variant>
      <vt:variant>
        <vt:i4>0</vt:i4>
      </vt:variant>
      <vt:variant>
        <vt:i4>5</vt:i4>
      </vt:variant>
      <vt:variant>
        <vt:lpwstr>https://journals.asm.org/journal/mra/article-types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Borgia</dc:creator>
  <cp:keywords/>
  <dc:description/>
  <cp:lastModifiedBy>Raneem Makrai</cp:lastModifiedBy>
  <cp:revision>2</cp:revision>
  <dcterms:created xsi:type="dcterms:W3CDTF">2025-04-30T17:20:00Z</dcterms:created>
  <dcterms:modified xsi:type="dcterms:W3CDTF">2025-04-30T17:20:00Z</dcterms:modified>
</cp:coreProperties>
</file>