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6D28D9"/>
          <w:sz w:val="64"/>
          <w:szCs w:val="64"/>
        </w:rPr>
        <w:t xml:space="preserve">Phase 3: Design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Software Design Description (SDD) — IEEE Std 1016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03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SDD Purpose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describes HOW the system is built — architecture, data models, API design, AI integration patterns, and component structure. Every design decision should trace back to an SRS requirement.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1. Design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1.1 Architectural Pattern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LifeCore uses a Client-Server architecture with a microservices-adjacent backend. The frontend is a React Native application connecting to a Node.js/Express REST API backed by PostgreSQL (via Supabase). AI features are handled through adapter services that interface with external LLM and vision APIs.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Client-Server with Service Adapters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Frontend Pattern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Component-based (React Native + Expo)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(global) + React Query (server state)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API Style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with JSON payloads, WebSocket for real-time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Relational (PostgreSQL) with Row Level Security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Adapter pattern — swappable providers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 tokens via Supabase Auth, refresh token rotation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1.2 System Context Viewpoint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actors and systems that interact with LifeCore: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User (Mobile / Web) — the primary 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API — bidirectional event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Claude / OpenAI GPT-4 — LLM for generative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 Whisper — audio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Cloud Vision — food photo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Nutrition API (USDA FoodData Central) — macro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Apple Push Notification Service / Firebase Cloud Messaging — push notifications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2. Data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2.1 Core Database Schema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entities and their relationships. Full SQL migrations are maintained in /db/migrations/.</w:t>
      </w:r>
    </w:p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users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 (uuid PK), email, name, subscription_tier, theme, created_at, updated_at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trackers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 (FK→users), name, prompt_used, config_json, created_at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tracker_sections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tracker_id (FK→trackers), type (fitness/nutrition/finance/...), order_index, config_json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events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title, start_at, end_at, recurrence_rule, google_event_id, timer_enabled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workouts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plan_json, generated_prompt, week_number, status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workout_logs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workout_id, user_id, completed_at, notes, rating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nutrition_logs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logged_at, items_json (array of food items + macros), source (manual/photo/search)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grocery_lists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name, items_json (name, qty, unit, macros), created_at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finance_entries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category, amount, type (income/expense), date, notes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medicine_schedules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name, dosage, frequency_cron, start_date, end_date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medicine_logs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schedule_id, user_id, scheduled_at, taken_at, status (taken/skipped/delayed)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audio_notes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user_id, audio_url, transcript, tags_json, created_at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templates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creator_id, name, description, category_tags, config_json, is_public, download_count, rating_avg</w:t>
      </w:r>
    </w:p>
    <w:p>
      <w:pPr>
        <w:spacing w:after="20" w:before="80"/>
      </w:pPr>
      <w:r>
        <w:rPr>
          <w:rFonts w:ascii="Courier New" w:cs="Courier New" w:eastAsia="Courier New" w:hAnsi="Courier New"/>
          <w:b/>
          <w:bCs/>
          <w:color w:val="6D28D9"/>
          <w:sz w:val="22"/>
          <w:szCs w:val="22"/>
        </w:rPr>
        <w:t xml:space="preserve">enterprise_groups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id, org_name, admin_id, member_ids_json, shared_templates_json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2.2 Row Level Security Policy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with user_id enforce Supabase Row Level Security (RLS). Users can only SELECT, INSERT, UPDATE, DELETE their own rows. Enterprise admins have additional policies for group-owned rows.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3. API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/api/tracker/generate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One-prompt tracker generation (agentic LLM call)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/api/tracker/:id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Fetch tracker configuration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/api/tracker/:id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 tracker (manual or AI edit)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/api/events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event (auto-syncs to Google Calendar)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/api/calendar/sync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Trigger manual Google Calendar sync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/api/workout/generate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workout plan generation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/api/nutrition/analyze-photo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Submit food photo for analysis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/api/finance/entries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 and retrieve finance entries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/api/medicine/schedule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medication schedule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/api/audio/transcribe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audio, return transcript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/api/templates/community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Optional 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Browse public community templates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/api/templates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Publish user template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/api/chat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chatbot message (streaming SSE)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/api/enterprise/group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JWT+Admin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 enterprise group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4. AI Integration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LLM Adapter Pattern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LLM calls go through a single AIAdapter service. This allows switching between Anthropic Claude, OpenAI, and other providers without changing application code.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AIAdapter Interface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generate(prompt, systemPrompt, options) → Promise&lt;string&gt;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generateStructured(prompt, schema) → Promise&lt;JSONObject&gt;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streamChat(messages, onChunk) → Promise&lt;void&gt;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Providers: AnthropicProvider | OpenAIProvider | MockProvider (testing)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Agentic Workflow Pattern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Multi-step AI operations (tracker generation, workout planning) follow this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User submits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AI analyzes intent and generates plan (streamed to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System presents preview with estimated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4: User confirms, modifies, or cancels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5: System executes confirmed plan, saves to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6: User receives confirmation with edit options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5. Component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Screen Hierarchy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Top-level navigation and screen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 dashboard with tracker sections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(tabs)/schedule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Calendar + timer 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(tabs)/fitness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Workout plans, logs, AI generator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(tabs)/nutrition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Food log, grocery, photo scan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(tabs)/finance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Budget, entries, insights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(tabs)/wellness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Medicine tracker, notes, PDF reader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Full-screen AI chatbot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templates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Community template browser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Theme, account, integrations, enterprise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6. Security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endpoints require JWT authentication (except /api/templates/community which is optionally public).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JWTs expire in 1 hour; refresh tokens rotate on each use and expire in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files and PDF uploads are stored in Supabase Storage with signed URL access (1-hour expiry).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prompts are sanitized to prevent prompt injection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Food photos are processed server-side and not stored permanently — only the nutritional result is saved.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data is isolated by organization ID in RLS policies.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7. Design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context diagram documented (actors + external services identified)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database schema defined with all tables and foreign keys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Row Level Security policies written for all user-owned tables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API endpoints defined with method, path, auth, and description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AIAdapter interface defined with concrete provider implementations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Agentic workflow pattern documented with preview-confirm steps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Screen hierarchy mapped to navigation structure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design covers auth, storage, AI prompt safety, and enterprise isolation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Architecture Decision Records (ADRs) filed for all major technical choices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Phase Gate: Design →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Database schema is finalized and first migration runs successfully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All API endpoints are defined (OpenAPI spec or equivalent)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AI adapter pattern is implemented with at least one working provider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4: Development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D28D9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28D9" w:sz="3" w:space="6"/>
      </w:pBdr>
      <w:spacing w:after="120" w:before="360"/>
      <w:outlineLvl w:val="0"/>
    </w:pPr>
    <w:rPr>
      <w:rFonts w:ascii="Arial" w:cs="Arial" w:eastAsia="Arial" w:hAnsi="Arial"/>
      <w:b/>
      <w:bCs/>
      <w:color w:val="6D28D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2026-04-26T14:43:57.241Z</dcterms:created>
  <dcterms:modified xsi:type="dcterms:W3CDTF">2026-04-26T14:43:57.241Z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