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Define the Problem Statements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Background</w:t>
      </w:r>
    </w:p>
    <w:p>
      <w:pPr>
        <w:spacing w:after="120"/>
      </w:pPr>
      <w:r>
        <w:t xml:space="preserve">Electricity is a vital driver of economic activity, reflecting both industrial productivity and household energy access. Despite relatively low tariffs, India's per-capita electricity consumption remains below global averages. The COVID-19 pandemic created a unique, high-contrast scenario for energy analysis: nationwide lockdowns shut down industry and transport (demand down) while confining people to their homes (residential demand up).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Customer / Stakeholder Problem Statements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900"/>
        <w:gridCol w:w="2200"/>
        <w:gridCol w:w="17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PS No.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 am (Stakeholder)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I'm trying to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But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Because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Which makes me feel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state electricity board / energy policy analyst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understand how demand changed across 2019–2020 and where the COVID-19 lockdown hit hardest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raw monthly numbers are scattered across states and hard to compare at a glance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there is no single, interactive view that lets me filter by region or state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unable to make quick, data-backed planning decisions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researcher / student studying the pandemic's economic impact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compare how different regions and states recovered after the lockdown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public dashboards only show a snapshot, not the recovery trajectory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needs to be tracked relative to a pre-COVID baseline over several months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frustrated that I have to build my own analysis from scratch each time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PS-3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non-technical stakeholder / decision-maker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grasp the key national and regional takeaways quickly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spreadsheets and raw charts are not an easy way to communicate a narrative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there is no guided story that walks through the findings in plain language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disengaged from data that could otherwise inform good decisions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Consolidated Problem Statement</w:t>
      </w:r>
    </w:p>
    <w:p>
      <w:pPr>
        <w:spacing w:after="120"/>
      </w:pPr>
      <w:r>
        <w:t xml:space="preserve">Analyze state-wise electricity consumption across India from January 2019 to December 2020 to answer: (1) how national consumption changed month by month and how sharply the COVID-19 lockdown disrupted the normal seasonal pattern, (2) how consumption differed across the five regions of India, and (3) how each state recovered after the lockdown — which states returned to (or exceeded) pre-COVID demand fastest, and which lagged — and present the findings through an interactive dashboard and a guided data 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2026-08-18T10:06:10.506Z</dcterms:created>
  <dcterms:modified xsi:type="dcterms:W3CDTF">2026-08-18T10:06:10.507Z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