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Problem – Solution Fit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August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[Your Team ID]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Plugging into the Future: An Exploration of Electricity Consumption Patterns (India, Jan 2019–Dec 2020)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Marks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Customer Segment &amp; Trigger</w:t>
      </w:r>
    </w:p>
    <w:p>
      <w:pPr>
        <w:spacing w:after="120"/>
      </w:pPr>
      <w:r>
        <w:t xml:space="preserve">Segment: state energy-policy analysts, researchers and non-technical stakeholders who need to understand how India's electricity demand behaved through the 2019–2020 COVID-19 period.</w:t>
      </w:r>
    </w:p>
    <w:p>
      <w:pPr>
        <w:spacing w:after="120"/>
      </w:pPr>
      <w:r>
        <w:t xml:space="preserve">Trigger event: the need to brief decision-makers on lockdown impact and recovery, without a ready-made, explorable tool to answer region- and state-level questions quickly.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Existing Alternatives &amp; Their Problems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Manually pulling monthly figures from multiple sources and comparing them in spreadsheets — slow and error-prone.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Static PDF/slide reports — cannot be filtered or drilled into by region or state.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Generic BI dashboards without a documented, reproducible SQL layer — hard to trust or audit the numbers.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Emotional Response to the Problem</w:t>
      </w:r>
    </w:p>
    <w:p>
      <w:pPr>
        <w:spacing w:after="120"/>
      </w:pPr>
      <w:r>
        <w:t xml:space="preserve">Frustration at the time cost of manual comparison, and low confidence when presenting numbers that can't easily be traced back to their source query.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Proposed Solution &amp; Fit</w:t>
      </w:r>
    </w:p>
    <w:p>
      <w:pPr>
        <w:spacing w:after="120"/>
      </w:pPr>
      <w:r>
        <w:t xml:space="preserve">An end-to-end analytics stack — SQLite database, documented SQL query layer, Flask API, interactive dashboard, and a guided 3-scene data story — that lets a user filter by region/state and instantly see the national trend, regional comparison, and state-wise lockdown/recovery analysis, with every number traceable to a query in sql/queries.sql.</w:t>
      </w:r>
    </w:p>
    <w:p>
      <w:pPr>
        <w:pStyle w:val="Heading2"/>
        <w:spacing w:after="100" w:before="180"/>
      </w:pPr>
      <w:r>
        <w:rPr>
          <w:b/>
          <w:bCs/>
        </w:rPr>
        <w:t xml:space="preserve">Why it fits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Answers the exact 3 scenario questions the target user has (trend, regional variation, recovery).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Removes the manual-spreadsheet step — filters update charts in real time (avg. query time 0.438 ms).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Builds trust: every figure is backed by a documented, reproducible SQL query.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Serves both technical (dashboard) and non-technical (guided story) audiences from the same data.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2026-08-18T10:07:30.164Z</dcterms:created>
  <dcterms:modified xsi:type="dcterms:W3CDTF">2026-08-18T10:07:30.164Z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