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Some generalized guidelines to convert Monolithic to Microservice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ideal Microservice needs to be separate Application</w:t>
      </w:r>
    </w:p>
    <w:p w:rsidR="00000000" w:rsidDel="00000000" w:rsidP="00000000" w:rsidRDefault="00000000" w:rsidRPr="00000000" w14:paraId="00000004">
      <w:pPr>
        <w:rPr/>
      </w:pPr>
      <w:r w:rsidDel="00000000" w:rsidR="00000000" w:rsidRPr="00000000">
        <w:rPr>
          <w:rtl w:val="0"/>
        </w:rPr>
        <w:t xml:space="preserve">A microservice need to own a specific table(s)/database(s),  and only owner microservice need to Access this.</w:t>
      </w:r>
    </w:p>
    <w:p w:rsidR="00000000" w:rsidDel="00000000" w:rsidP="00000000" w:rsidRDefault="00000000" w:rsidRPr="00000000" w14:paraId="00000005">
      <w:pPr>
        <w:rPr/>
      </w:pPr>
      <w:r w:rsidDel="00000000" w:rsidR="00000000" w:rsidRPr="00000000">
        <w:rPr>
          <w:rtl w:val="0"/>
        </w:rPr>
        <w:t xml:space="preserve">And hence a DAO/Repository or multiple DAOs are within a specific Microservice. Whenever a Microservice need to access DAOs in other Microservice, that DAO functionality need to be exposed as a Microservice.</w:t>
      </w:r>
    </w:p>
    <w:p w:rsidR="00000000" w:rsidDel="00000000" w:rsidP="00000000" w:rsidRDefault="00000000" w:rsidRPr="00000000" w14:paraId="00000006">
      <w:pPr>
        <w:rPr/>
      </w:pPr>
      <w:r w:rsidDel="00000000" w:rsidR="00000000" w:rsidRPr="00000000">
        <w:rPr>
          <w:rtl w:val="0"/>
        </w:rPr>
        <w:t xml:space="preserve">As known a Microservice can invoke another Microservice, to perform a specific operation.</w:t>
      </w:r>
    </w:p>
    <w:p w:rsidR="00000000" w:rsidDel="00000000" w:rsidP="00000000" w:rsidRDefault="00000000" w:rsidRPr="00000000" w14:paraId="00000007">
      <w:pPr>
        <w:rPr/>
      </w:pPr>
      <w:r w:rsidDel="00000000" w:rsidR="00000000" w:rsidRPr="00000000">
        <w:rPr>
          <w:rtl w:val="0"/>
        </w:rPr>
        <w:t xml:space="preserve">An Entity class need tobe within a specific Microservice, and its copies need not be in multiple Microservices.</w:t>
      </w:r>
    </w:p>
    <w:p w:rsidR="00000000" w:rsidDel="00000000" w:rsidP="00000000" w:rsidRDefault="00000000" w:rsidRPr="00000000" w14:paraId="00000008">
      <w:pPr>
        <w:rPr/>
      </w:pPr>
      <w:r w:rsidDel="00000000" w:rsidR="00000000" w:rsidRPr="00000000">
        <w:rPr>
          <w:rtl w:val="0"/>
        </w:rPr>
        <w:t xml:space="preserve">A specific Model class can be available in multiple Microservices, and extra fields may be available in one Microservice and no tin other. Exceptions due to mismatches can be takencare by some annotations, which are specified in URL </w:t>
      </w:r>
    </w:p>
    <w:p w:rsidR="00000000" w:rsidDel="00000000" w:rsidP="00000000" w:rsidRDefault="00000000" w:rsidRPr="00000000" w14:paraId="00000009">
      <w:pPr>
        <w:rPr/>
      </w:pPr>
      <w:r w:rsidDel="00000000" w:rsidR="00000000" w:rsidRPr="00000000">
        <w:rPr>
          <w:rtl w:val="0"/>
        </w:rPr>
        <w:t xml:space="preserve">https://stackoverflow.com/questions/4486787/jackson-with-json-unrecognized-field-not-marked-as-ignorable</w:t>
      </w:r>
    </w:p>
    <w:p w:rsidR="00000000" w:rsidDel="00000000" w:rsidP="00000000" w:rsidRDefault="00000000" w:rsidRPr="00000000" w14:paraId="0000000A">
      <w:pPr>
        <w:rPr/>
      </w:pPr>
      <w:hyperlink r:id="rId6">
        <w:r w:rsidDel="00000000" w:rsidR="00000000" w:rsidRPr="00000000">
          <w:rPr>
            <w:color w:val="0000ff"/>
            <w:u w:val="single"/>
            <w:rtl w:val="0"/>
          </w:rPr>
          <w:t xml:space="preserve">https://dzone.com/articles/jackson-annotations-for-json-part-3-deserialization</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bookmarkStart w:colFirst="0" w:colLast="0" w:name="_gjdgxs" w:id="0"/>
      <w:bookmarkEnd w:id="0"/>
      <w:r w:rsidDel="00000000" w:rsidR="00000000" w:rsidRPr="00000000">
        <w:rPr>
          <w:rtl w:val="0"/>
        </w:rPr>
        <w:t xml:space="preserve">However, there can be deviations &amp; customizations.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zone.com/articles/jackson-annotations-for-json-part-3-deser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