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</w:pPr>
      <w:r>
        <w:rPr>
          <w:rFonts w:ascii="Arial" w:cs="Arial" w:eastAsia="Arial" w:hAnsi="Arial"/>
          <w:b/>
          <w:bCs/>
          <w:color w:val="0078D4"/>
          <w:sz w:val="52"/>
          <w:szCs w:val="52"/>
        </w:rPr>
        <w:t xml:space="preserve">Enercare Fabric + Purview Demo</w:t>
      </w:r>
    </w:p>
    <w:p>
      <w:pPr>
        <w:spacing w:before="0" w:after="200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Architecture &amp; Functional Description — Internal SE Reference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Customer</w:t>
            </w:r>
          </w:p>
        </w:tc>
        <w:tc>
          <w:tcPr>
            <w:tcW w:type="pct" w:w="7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Brookfield Enercare</w:t>
            </w:r>
          </w:p>
        </w:tc>
      </w:tr>
      <w:tr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Owner</w:t>
            </w:r>
          </w:p>
        </w:tc>
        <w:tc>
          <w:tcPr>
            <w:tcW w:type="pct" w:w="7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Sean Kelley, Solution Engineer — FSI</w:t>
            </w:r>
          </w:p>
        </w:tc>
      </w:tr>
      <w:tr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Team</w:t>
            </w:r>
          </w:p>
        </w:tc>
        <w:tc>
          <w:tcPr>
            <w:tcW w:type="pct" w:w="7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Brian Lung · Alison Pouw · Naunihal Singh Sidhu · Ajay Jagannathan</w:t>
            </w:r>
          </w:p>
        </w:tc>
      </w:tr>
      <w:tr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Date</w:t>
            </w:r>
          </w:p>
        </w:tc>
        <w:tc>
          <w:tcPr>
            <w:tcW w:type="pct" w:w="7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May 2026</w:t>
            </w:r>
          </w:p>
        </w:tc>
      </w:tr>
      <w:tr>
        <w:tc>
          <w:tcPr>
            <w:tcW w:type="pct" w:w="22%"/>
            <w:tcBorders>
              <w:top w:val="none" w:color="FFFFFF" w:sz="0"/>
              <w:left w:val="none" w:color="FFFFFF" w:sz="0"/>
              <w:bottom w:val="single" w:color="0078D4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Classification</w:t>
            </w:r>
          </w:p>
        </w:tc>
        <w:tc>
          <w:tcPr>
            <w:tcW w:type="pct" w:w="78%"/>
            <w:tcBorders>
              <w:top w:val="none" w:color="FFFFFF" w:sz="0"/>
              <w:left w:val="none" w:color="FFFFFF" w:sz="0"/>
              <w:bottom w:val="single" w:color="0078D4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Microsoft Confidential — Internal Use Only</w:t>
            </w:r>
          </w:p>
        </w:tc>
      </w:tr>
    </w:tbl>
    <w:p>
      <w:pPr>
        <w:pBdr>
          <w:bottom w:val="single" w:color="0078D4" w:sz="6"/>
        </w:pBdr>
        <w:spacing w:before="120" w:after="120"/>
      </w:pPr>
    </w:p>
    <w:p>
      <w:pPr>
        <w:pBdr>
          <w:bottom w:val="single" w:color="0078D4" w:sz="4"/>
        </w:pBdr>
        <w:spacing w:before="300" w:after="12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Executive Summary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Enercare (Brookfield) is building a governed semantic foundation for analytics and AI on Microsoft Fabric. Their core problem: KPI definitions diverge across 300+ Power BI reports because there is no single authoritative metadata layer — the same metric (PP Renewal Rate, FCR) is calculated differently depending on which semantic model a report was built on. This demo proves the architecture that breaks that pattern: a Fabric + Purview metadata pipeline that enriches semantic models once, propagates definitions to Copilot and Data Agent surfaces automatically, and writes AI-generated insights back to Purview to close the governance loop.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The demo is customer-grounded — data distributions, schema naming, and business scenarios are derived directly from Enercare's actual Azure SQL catalog (4,165 objects, 1,912 tables, 42K columns) and the 5-5-26 technical session with Christopher Dingle (VP Data Analytics &amp; Governance). Every design decision in this document reflects a constraint or preference stated explicitly by the customer.</w:t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Customer Context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Brookfield Enercare provides home services (HVAC, water heaters, Protection Plans, Ecobee smart thermostats) to 1.7M residential customers, primarily in Ontario. Key contacts: Christopher Dingle (VP Data Analytics &amp; Governance), Ci Zhu (Sr. Manager, Data — led catalog extraction), Ranbir Singh (Data Engineering — call center analytics lead).</w:t>
      </w:r>
    </w:p>
    <w:p>
      <w:pPr>
        <w:spacing w:before="60"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18"/>
          <w:szCs w:val="18"/>
        </w:rPr>
        <w:t xml:space="preserve">Verbatim from the 5-5-26 technical session (Christopher Dingle):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"We want to build this in the right place — we're in a circular loop" (on metadata location)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"Very, very naive… sparse" (describing current metadata state)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"Avoid third-party tools… centralize in OneLake catalog" (explicit platform preference)</w:t>
      </w:r>
    </w:p>
    <w:p>
      <w:pPr>
        <w:spacing w:before="80"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before="60"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18"/>
          <w:szCs w:val="18"/>
        </w:rPr>
        <w:t xml:space="preserve">Three unresolved questions from the customer session that this demo answers: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78D4"/>
          <w:sz w:val="18"/>
          <w:szCs w:val="18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Where does authoritative metadata live? → OneLake Delta + Purview (Path C)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78D4"/>
          <w:sz w:val="18"/>
          <w:szCs w:val="18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How do we write metadata back to semantic models without a Windows VM or CLR? → sempy_labs (TOM over XMLA) or Fabric Items REST API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78D4"/>
          <w:sz w:val="18"/>
          <w:szCs w:val="18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How do we scale metadata definitions across models? → Metadata templating via parameterized pipeline</w:t>
      </w:r>
    </w:p>
    <w:p>
      <w:pPr>
        <w:pageBreakBefore/>
      </w:pPr>
    </w:p>
    <w:p>
      <w:pPr>
        <w:pBdr>
          <w:bottom w:val="single" w:color="0078D4" w:sz="4"/>
        </w:pBdr>
        <w:spacing w:before="300" w:after="12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Architecture Overview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Pipeline — End to End</w:t>
      </w:r>
    </w:p>
    <w:p>
      <w:pPr>
        <w:spacing w:before="60"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0078D4" w:sz="4"/>
              <w:left w:val="single" w:color="BFBFBF" w:sz="4"/>
              <w:bottom w:val="single" w:color="0078D4" w:sz="4"/>
              <w:right w:val="single" w:color="BFBFBF" w:sz="4"/>
            </w:tcBorders>
            <w:shd w:fill="E6F2FB" w:color="E6F2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78D4"/>
                <w:sz w:val="18"/>
                <w:szCs w:val="18"/>
              </w:rPr>
              <w:t xml:space="preserve">Layer</w:t>
            </w:r>
          </w:p>
        </w:tc>
        <w:tc>
          <w:tcPr>
            <w:tcW w:type="pct" w:w="45%"/>
            <w:tcBorders>
              <w:top w:val="single" w:color="0078D4" w:sz="4"/>
              <w:left w:val="single" w:color="BFBFBF" w:sz="4"/>
              <w:bottom w:val="single" w:color="0078D4" w:sz="4"/>
              <w:right w:val="single" w:color="BFBFBF" w:sz="4"/>
            </w:tcBorders>
            <w:shd w:fill="E6F2FB" w:color="E6F2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78D4"/>
                <w:sz w:val="18"/>
                <w:szCs w:val="18"/>
              </w:rPr>
              <w:t xml:space="preserve">Component / Tool</w:t>
            </w:r>
          </w:p>
        </w:tc>
        <w:tc>
          <w:tcPr>
            <w:tcW w:type="pct" w:w="35%"/>
            <w:tcBorders>
              <w:top w:val="single" w:color="0078D4" w:sz="4"/>
              <w:left w:val="single" w:color="BFBFBF" w:sz="4"/>
              <w:bottom w:val="single" w:color="0078D4" w:sz="4"/>
              <w:right w:val="single" w:color="BFBFBF" w:sz="4"/>
            </w:tcBorders>
            <w:shd w:fill="E6F2FB" w:color="E6F2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78D4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Source</w:t>
            </w:r>
          </w:p>
        </w:tc>
        <w:tc>
          <w:tcPr>
            <w:tcW w:type="pct" w:w="4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Azure SQL (dw_inbnd_t · dw_t · dw_clarify_raw) — Clarify, Zuora, NetSuite, CP360</w:t>
            </w:r>
          </w:p>
        </w:tc>
        <w:tc>
          <w:tcPr>
            <w:tcW w:type="pct" w:w="3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~1,912 tables (300 scoped to mirror)</w:t>
            </w:r>
          </w:p>
        </w:tc>
      </w:tr>
      <w:tr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5F5" w:color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Ingestion</w:t>
            </w:r>
          </w:p>
        </w:tc>
        <w:tc>
          <w:tcPr>
            <w:tcW w:type="pct" w:w="4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5F5" w:color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Fabric Selective Mirror → Lakehouse Bronze (Delta)</w:t>
            </w:r>
          </w:p>
        </w:tc>
        <w:tc>
          <w:tcPr>
            <w:tcW w:type="pct" w:w="3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5F5" w:color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Bronze Delta tables</w:t>
            </w:r>
          </w:p>
        </w:tc>
      </w:tr>
      <w:tr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Transform</w:t>
            </w:r>
          </w:p>
        </w:tc>
        <w:tc>
          <w:tcPr>
            <w:tcW w:type="pct" w:w="4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Fabric Notebooks (PySpark) Silver → Gold</w:t>
            </w:r>
          </w:p>
        </w:tc>
        <w:tc>
          <w:tcPr>
            <w:tcW w:type="pct" w:w="3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KPI aggregation tables</w:t>
            </w:r>
          </w:p>
        </w:tc>
      </w:tr>
      <w:tr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5F5" w:color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Semantic Model</w:t>
            </w:r>
          </w:p>
        </w:tc>
        <w:tc>
          <w:tcPr>
            <w:tcW w:type="pct" w:w="4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5F5" w:color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Power BI Semantic Model on Gold — DAX measures</w:t>
            </w:r>
          </w:p>
        </w:tc>
        <w:tc>
          <w:tcPr>
            <w:tcW w:type="pct" w:w="3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5F5" w:color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FCR · CSAT · PP_RNW_RATE · AHT · SLA_BRCH_RATE</w:t>
            </w:r>
          </w:p>
        </w:tc>
      </w:tr>
      <w:tr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Metadata Enrich</w:t>
            </w:r>
          </w:p>
        </w:tc>
        <w:tc>
          <w:tcPr>
            <w:tcW w:type="pct" w:w="4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sempy_labs (read) + TOM write-back + Fabric Items REST API</w:t>
            </w:r>
          </w:p>
        </w:tc>
        <w:tc>
          <w:tcPr>
            <w:tcW w:type="pct" w:w="3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Descriptions · AI instructions · Verified answers injected</w:t>
            </w:r>
          </w:p>
        </w:tc>
      </w:tr>
      <w:tr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5F5" w:color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Catalog</w:t>
            </w:r>
          </w:p>
        </w:tc>
        <w:tc>
          <w:tcPr>
            <w:tcW w:type="pct" w:w="4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5F5" w:color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PyApacheAtlas → Purview Atlas v2 API</w:t>
            </w:r>
          </w:p>
        </w:tc>
        <w:tc>
          <w:tcPr>
            <w:tcW w:type="pct" w:w="3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5F5" w:color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Assets · Lineage · Glossary · EnercareBusinessSemantics attrs</w:t>
            </w:r>
          </w:p>
        </w:tc>
      </w:tr>
      <w:tr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AI Surface A</w:t>
            </w:r>
          </w:p>
        </w:tc>
        <w:tc>
          <w:tcPr>
            <w:tcW w:type="pct" w:w="4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Standalone Copilot — Power BI chat pane</w:t>
            </w:r>
          </w:p>
        </w:tc>
        <w:tc>
          <w:tcPr>
            <w:tcW w:type="pct" w:w="3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Verified KPI answers (no Data Agent required)</w:t>
            </w:r>
          </w:p>
        </w:tc>
      </w:tr>
      <w:tr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5F5" w:color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AI Surface B</w:t>
            </w:r>
          </w:p>
        </w:tc>
        <w:tc>
          <w:tcPr>
            <w:tcW w:type="pct" w:w="4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5F5" w:color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Fabric Data Agent + Azure AI Search</w:t>
            </w:r>
          </w:p>
        </w:tc>
        <w:tc>
          <w:tcPr>
            <w:tcW w:type="pct" w:w="3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5F5" w:color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Hybrid structured + transcript queries (pending EARB)</w:t>
            </w:r>
          </w:p>
        </w:tc>
      </w:tr>
      <w:tr>
        <w:tc>
          <w:tcPr>
            <w:tcW w:type="pct" w:w="2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Loop Close</w:t>
            </w:r>
          </w:p>
        </w:tc>
        <w:tc>
          <w:tcPr>
            <w:tcW w:type="pct" w:w="4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write_back_insight.py → Purview business metadata PUT</w:t>
            </w:r>
          </w:p>
        </w:tc>
        <w:tc>
          <w:tcPr>
            <w:tcW w:type="pct" w:w="3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AI annotation on Purview asset</w:t>
            </w:r>
          </w:p>
        </w:tc>
      </w:tr>
    </w:tbl>
    <w:p>
      <w:pPr>
        <w:spacing w:before="120"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Design Principles (from 5-5-26 customer session)</w:t>
      </w:r>
    </w:p>
    <w:p>
      <w:pPr>
        <w:spacing w:before="40"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38%"/>
            <w:tcBorders>
              <w:top w:val="single" w:color="0078D4" w:sz="4"/>
              <w:left w:val="single" w:color="BFBFBF" w:sz="4"/>
              <w:bottom w:val="single" w:color="0078D4" w:sz="4"/>
              <w:right w:val="single" w:color="BFBFBF" w:sz="4"/>
            </w:tcBorders>
            <w:shd w:fill="E6F2FB" w:color="E6F2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78D4"/>
                <w:sz w:val="18"/>
                <w:szCs w:val="18"/>
              </w:rPr>
              <w:t xml:space="preserve">Principle</w:t>
            </w:r>
          </w:p>
        </w:tc>
        <w:tc>
          <w:tcPr>
            <w:tcW w:type="pct" w:w="62%"/>
            <w:tcBorders>
              <w:top w:val="single" w:color="0078D4" w:sz="4"/>
              <w:left w:val="single" w:color="BFBFBF" w:sz="4"/>
              <w:bottom w:val="single" w:color="0078D4" w:sz="4"/>
              <w:right w:val="single" w:color="BFBFBF" w:sz="4"/>
            </w:tcBorders>
            <w:shd w:fill="E6F2FB" w:color="E6F2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78D4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W w:type="pct" w:w="3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"Metadata must live once"</w:t>
            </w:r>
          </w:p>
        </w:tc>
        <w:tc>
          <w:tcPr>
            <w:tcW w:type="pct" w:w="6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OneLake Delta dbo.ref_kpi_definitions is the single source. Purview and semantic models are consumers, not sources.</w:t>
            </w:r>
          </w:p>
        </w:tc>
      </w:tr>
      <w:tr>
        <w:tc>
          <w:tcPr>
            <w:tcW w:type="pct" w:w="3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5F5" w:color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"Semantic model = control plane"</w:t>
            </w:r>
          </w:p>
        </w:tc>
        <w:tc>
          <w:tcPr>
            <w:tcW w:type="pct" w:w="6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5F5" w:color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Certified model registry controls Copilot and Data Agent access scope</w:t>
            </w:r>
          </w:p>
        </w:tc>
      </w:tr>
      <w:tr>
        <w:tc>
          <w:tcPr>
            <w:tcW w:type="pct" w:w="3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"AI quality = metadata quality"</w:t>
            </w:r>
          </w:p>
        </w:tc>
        <w:tc>
          <w:tcPr>
            <w:tcW w:type="pct" w:w="6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Enrichment layer gates write-back. Sparse metadata cannot reach AI surfaces.</w:t>
            </w:r>
          </w:p>
        </w:tc>
      </w:tr>
      <w:tr>
        <w:tc>
          <w:tcPr>
            <w:tcW w:type="pct" w:w="3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5F5" w:color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"Expose only trusted assets"</w:t>
            </w:r>
          </w:p>
        </w:tc>
        <w:tc>
          <w:tcPr>
            <w:tcW w:type="pct" w:w="6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5F5" w:color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Standalone Copilot scoped to approved models via tenant settings</w:t>
            </w:r>
          </w:p>
        </w:tc>
      </w:tr>
      <w:tr>
        <w:tc>
          <w:tcPr>
            <w:tcW w:type="pct" w:w="3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"Avoid third-party tools"</w:t>
            </w:r>
          </w:p>
        </w:tc>
        <w:tc>
          <w:tcPr>
            <w:tcW w:type="pct" w:w="6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Full pipeline is Fabric-native: SemPy + sempy_labs + Purview REST API</w:t>
            </w:r>
          </w:p>
        </w:tc>
      </w:tr>
    </w:tbl>
    <w:p>
      <w:pPr>
        <w:pageBreakBefore/>
      </w:pPr>
    </w:p>
    <w:p>
      <w:pPr>
        <w:pBdr>
          <w:bottom w:val="single" w:color="0078D4" w:sz="4"/>
        </w:pBdr>
        <w:spacing w:before="300" w:after="12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Demo Surfaces</w:t>
      </w:r>
    </w:p>
    <w:p>
      <w:pPr>
        <w:spacing w:before="60"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0078D4" w:sz="4"/>
              <w:left w:val="single" w:color="BFBFBF" w:sz="4"/>
              <w:bottom w:val="single" w:color="0078D4" w:sz="4"/>
              <w:right w:val="single" w:color="BFBFBF" w:sz="4"/>
            </w:tcBorders>
            <w:shd w:fill="E6F2FB" w:color="E6F2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78D4"/>
                <w:sz w:val="18"/>
                <w:szCs w:val="18"/>
              </w:rPr>
              <w:t xml:space="preserve">Capability</w:t>
            </w:r>
          </w:p>
        </w:tc>
        <w:tc>
          <w:tcPr>
            <w:tcW w:type="pct" w:w="39%"/>
            <w:tcBorders>
              <w:top w:val="single" w:color="0078D4" w:sz="4"/>
              <w:left w:val="single" w:color="BFBFBF" w:sz="4"/>
              <w:bottom w:val="single" w:color="0078D4" w:sz="4"/>
              <w:right w:val="single" w:color="BFBFBF" w:sz="4"/>
            </w:tcBorders>
            <w:shd w:fill="E6F2FB" w:color="E6F2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78D4"/>
                <w:sz w:val="18"/>
                <w:szCs w:val="18"/>
              </w:rPr>
              <w:t xml:space="preserve">Surface A: Standalone Copilot</w:t>
            </w:r>
          </w:p>
        </w:tc>
        <w:tc>
          <w:tcPr>
            <w:tcW w:type="pct" w:w="39%"/>
            <w:tcBorders>
              <w:top w:val="single" w:color="0078D4" w:sz="4"/>
              <w:left w:val="single" w:color="BFBFBF" w:sz="4"/>
              <w:bottom w:val="single" w:color="0078D4" w:sz="4"/>
              <w:right w:val="single" w:color="BFBFBF" w:sz="4"/>
            </w:tcBorders>
            <w:shd w:fill="E6F2FB" w:color="E6F2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78D4"/>
                <w:sz w:val="18"/>
                <w:szCs w:val="18"/>
              </w:rPr>
              <w:t xml:space="preserve">Surface B: Fabric Data Agent</w:t>
            </w:r>
          </w:p>
        </w:tc>
      </w:tr>
      <w:tr>
        <w:tc>
          <w:tcPr>
            <w:tcW w:type="pct" w:w="2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Entry Point</w:t>
            </w:r>
          </w:p>
        </w:tc>
        <w:tc>
          <w:tcPr>
            <w:tcW w:type="pct" w:w="39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Power BI report chat pane</w:t>
            </w:r>
          </w:p>
        </w:tc>
        <w:tc>
          <w:tcPr>
            <w:tcW w:type="pct" w:w="39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Teams bot / Copilot Studio</w:t>
            </w:r>
          </w:p>
        </w:tc>
      </w:tr>
      <w:tr>
        <w:tc>
          <w:tcPr>
            <w:tcW w:type="pct" w:w="2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5F5" w:color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Query Type</w:t>
            </w:r>
          </w:p>
        </w:tc>
        <w:tc>
          <w:tcPr>
            <w:tcW w:type="pct" w:w="39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5F5" w:color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DAX only</w:t>
            </w:r>
          </w:p>
        </w:tc>
        <w:tc>
          <w:tcPr>
            <w:tcW w:type="pct" w:w="39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5F5" w:color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DAX + Azure AI Search</w:t>
            </w:r>
          </w:p>
        </w:tc>
      </w:tr>
      <w:tr>
        <w:tc>
          <w:tcPr>
            <w:tcW w:type="pct" w:w="2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Strength</w:t>
            </w:r>
          </w:p>
        </w:tc>
        <w:tc>
          <w:tcPr>
            <w:tcW w:type="pct" w:w="39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Verified answers — deterministic KPI responses</w:t>
            </w:r>
          </w:p>
        </w:tc>
        <w:tc>
          <w:tcPr>
            <w:tcW w:type="pct" w:w="39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Hybrid: structured + unstructured transcript queries</w:t>
            </w:r>
          </w:p>
        </w:tc>
      </w:tr>
      <w:tr>
        <w:tc>
          <w:tcPr>
            <w:tcW w:type="pct" w:w="2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5F5" w:color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Primary User</w:t>
            </w:r>
          </w:p>
        </w:tc>
        <w:tc>
          <w:tcPr>
            <w:tcW w:type="pct" w:w="39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5F5" w:color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Analytics team / power users (Ranbir's team)</w:t>
            </w:r>
          </w:p>
        </w:tc>
        <w:tc>
          <w:tcPr>
            <w:tcW w:type="pct" w:w="39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5F5" w:color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Call center agents — real-time assist</w:t>
            </w:r>
          </w:p>
        </w:tc>
      </w:tr>
      <w:tr>
        <w:tc>
          <w:tcPr>
            <w:tcW w:type="pct" w:w="2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Status</w:t>
            </w:r>
          </w:p>
        </w:tc>
        <w:tc>
          <w:tcPr>
            <w:tcW w:type="pct" w:w="39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Runnable today</w:t>
            </w:r>
          </w:p>
        </w:tc>
        <w:tc>
          <w:tcPr>
            <w:tcW w:type="pct" w:w="39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Pending EARB cross-border approval</w:t>
            </w:r>
          </w:p>
        </w:tc>
      </w:tr>
      <w:tr>
        <w:tc>
          <w:tcPr>
            <w:tcW w:type="pct" w:w="2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5F5" w:color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Demo Question</w:t>
            </w:r>
          </w:p>
        </w:tc>
        <w:tc>
          <w:tcPr>
            <w:tcW w:type="pct" w:w="39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5F5" w:color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"What is our PP renewal rate for billing queue customers in Q1?"</w:t>
            </w:r>
          </w:p>
        </w:tc>
        <w:tc>
          <w:tcPr>
            <w:tcW w:type="pct" w:w="39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5F5" w:color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"Show me transcripts where customers mentioned billing confusion before their PP lapsed"</w:t>
            </w:r>
          </w:p>
        </w:tc>
      </w:tr>
      <w:tr>
        <w:tc>
          <w:tcPr>
            <w:tcW w:type="pct" w:w="2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Expected Output</w:t>
            </w:r>
          </w:p>
        </w:tc>
        <w:tc>
          <w:tcPr>
            <w:tcW w:type="pct" w:w="39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Verified answer: 57% (billing callers) vs 76% (non-billing) — certification displayed inline</w:t>
            </w:r>
          </w:p>
        </w:tc>
        <w:tc>
          <w:tcPr>
            <w:tcW w:type="pct" w:w="39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AI Search returns transcript turns with intent_label='billing_dispute' joined to renewal outcome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E6F2FB" w:sz="2"/>
              <w:left w:val="thick" w:color="0078D4" w:sz="16"/>
              <w:bottom w:val="single" w:color="E6F2FB" w:sz="2"/>
              <w:right w:val="single" w:color="E6F2FB" w:sz="2"/>
            </w:tcBorders>
            <w:shd w:fill="E6F2FB" w:color="E6F2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Both surfaces consume the same enriched semantic model. The metadata enrichment work is done once — adding the Data Agent surface requires no re-enrichment.</w:t>
            </w:r>
          </w:p>
        </w:tc>
      </w:tr>
    </w:tbl>
    <w:p>
      <w:pPr>
        <w:pageBreakBefore/>
      </w:pPr>
    </w:p>
    <w:p>
      <w:pPr>
        <w:pBdr>
          <w:bottom w:val="single" w:color="0078D4" w:sz="4"/>
        </w:pBdr>
        <w:spacing w:before="300" w:after="12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Call Center Data Domain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Schema Design (Mirrors Enercare's Actual Catalog Conventions)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Schema naming follows Enercare's actual Azure SQL conventions confirmed in catalog_analysis_report.xlsx delivered by Ci Zhu (2026-04-28). Column suffix standards: _sk = surrogate key, _id = source GUID, _flg = Y/N flag, _code = reference FK, _amt = dollar amount, _dttm = datetime.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Key Tables</w:t>
      </w:r>
    </w:p>
    <w:p>
      <w:pPr>
        <w:spacing w:before="40"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tcBorders>
              <w:top w:val="single" w:color="0078D4" w:sz="4"/>
              <w:left w:val="single" w:color="BFBFBF" w:sz="4"/>
              <w:bottom w:val="single" w:color="0078D4" w:sz="4"/>
              <w:right w:val="single" w:color="BFBFBF" w:sz="4"/>
            </w:tcBorders>
            <w:shd w:fill="E6F2FB" w:color="E6F2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78D4"/>
                <w:sz w:val="18"/>
                <w:szCs w:val="18"/>
              </w:rPr>
              <w:t xml:space="preserve">Schema</w:t>
            </w:r>
          </w:p>
        </w:tc>
        <w:tc>
          <w:tcPr>
            <w:tcW w:type="pct" w:w="28%"/>
            <w:tcBorders>
              <w:top w:val="single" w:color="0078D4" w:sz="4"/>
              <w:left w:val="single" w:color="BFBFBF" w:sz="4"/>
              <w:bottom w:val="single" w:color="0078D4" w:sz="4"/>
              <w:right w:val="single" w:color="BFBFBF" w:sz="4"/>
            </w:tcBorders>
            <w:shd w:fill="E6F2FB" w:color="E6F2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78D4"/>
                <w:sz w:val="18"/>
                <w:szCs w:val="18"/>
              </w:rPr>
              <w:t xml:space="preserve">Table</w:t>
            </w:r>
          </w:p>
        </w:tc>
        <w:tc>
          <w:tcPr>
            <w:tcW w:type="pct" w:w="16%"/>
            <w:tcBorders>
              <w:top w:val="single" w:color="0078D4" w:sz="4"/>
              <w:left w:val="single" w:color="BFBFBF" w:sz="4"/>
              <w:bottom w:val="single" w:color="0078D4" w:sz="4"/>
              <w:right w:val="single" w:color="BFBFBF" w:sz="4"/>
            </w:tcBorders>
            <w:shd w:fill="E6F2FB" w:color="E6F2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78D4"/>
                <w:sz w:val="18"/>
                <w:szCs w:val="18"/>
              </w:rPr>
              <w:t xml:space="preserve">Rows (Synthetic)</w:t>
            </w:r>
          </w:p>
        </w:tc>
        <w:tc>
          <w:tcPr>
            <w:tcW w:type="pct" w:w="42%"/>
            <w:tcBorders>
              <w:top w:val="single" w:color="0078D4" w:sz="4"/>
              <w:left w:val="single" w:color="BFBFBF" w:sz="4"/>
              <w:bottom w:val="single" w:color="0078D4" w:sz="4"/>
              <w:right w:val="single" w:color="BFBFBF" w:sz="4"/>
            </w:tcBorders>
            <w:shd w:fill="E6F2FB" w:color="E6F2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78D4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14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dw_inbnd_t</w:t>
            </w:r>
          </w:p>
        </w:tc>
        <w:tc>
          <w:tcPr>
            <w:tcW w:type="pct" w:w="2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fct_cc_interactions</w:t>
            </w:r>
          </w:p>
        </w:tc>
        <w:tc>
          <w:tcPr>
            <w:tcW w:type="pct" w:w="16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15,000</w:t>
            </w:r>
          </w:p>
        </w:tc>
        <w:tc>
          <w:tcPr>
            <w:tcW w:type="pct" w:w="4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Call center interaction fact — mirrors PP_Sales_Raw_Data_Daily pattern</w:t>
            </w:r>
          </w:p>
        </w:tc>
      </w:tr>
      <w:tr>
        <w:tc>
          <w:tcPr>
            <w:tcW w:type="pct" w:w="14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5F5" w:color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dw_inbnd_t</w:t>
            </w:r>
          </w:p>
        </w:tc>
        <w:tc>
          <w:tcPr>
            <w:tcW w:type="pct" w:w="2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5F5" w:color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fct_cc_transcript_turns</w:t>
            </w:r>
          </w:p>
        </w:tc>
        <w:tc>
          <w:tcPr>
            <w:tcW w:type="pct" w:w="16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5F5" w:color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~180,000</w:t>
            </w:r>
          </w:p>
        </w:tc>
        <w:tc>
          <w:tcPr>
            <w:tcW w:type="pct" w:w="4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5F5" w:color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Transcript corpus — AI Search index for Data Agent</w:t>
            </w:r>
          </w:p>
        </w:tc>
      </w:tr>
      <w:tr>
        <w:tc>
          <w:tcPr>
            <w:tcW w:type="pct" w:w="14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dw_inbnd_t</w:t>
            </w:r>
          </w:p>
        </w:tc>
        <w:tc>
          <w:tcPr>
            <w:tcW w:type="pct" w:w="2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fct_pp_inbound_sales</w:t>
            </w:r>
          </w:p>
        </w:tc>
        <w:tc>
          <w:tcPr>
            <w:tcW w:type="pct" w:w="16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3,200</w:t>
            </w:r>
          </w:p>
        </w:tc>
        <w:tc>
          <w:tcPr>
            <w:tcW w:type="pct" w:w="4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PP sales conversion by call</w:t>
            </w:r>
          </w:p>
        </w:tc>
      </w:tr>
      <w:tr>
        <w:tc>
          <w:tcPr>
            <w:tcW w:type="pct" w:w="14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5F5" w:color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dw_inbnd_t</w:t>
            </w:r>
          </w:p>
        </w:tc>
        <w:tc>
          <w:tcPr>
            <w:tcW w:type="pct" w:w="2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5F5" w:color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ref_cc_billing_adjustment_category</w:t>
            </w:r>
          </w:p>
        </w:tc>
        <w:tc>
          <w:tcPr>
            <w:tcW w:type="pct" w:w="16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5F5" w:color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445</w:t>
            </w:r>
          </w:p>
        </w:tc>
        <w:tc>
          <w:tcPr>
            <w:tcW w:type="pct" w:w="4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5F5" w:color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ORPHANED (mirrors real orphaned table in Enercare estate — no mappings, no descriptions)</w:t>
            </w:r>
          </w:p>
        </w:tc>
      </w:tr>
      <w:tr>
        <w:tc>
          <w:tcPr>
            <w:tcW w:type="pct" w:w="14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dw_t</w:t>
            </w:r>
          </w:p>
        </w:tc>
        <w:tc>
          <w:tcPr>
            <w:tcW w:type="pct" w:w="2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fct_sv_service_visits</w:t>
            </w:r>
          </w:p>
        </w:tc>
        <w:tc>
          <w:tcPr>
            <w:tcW w:type="pct" w:w="16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20,000</w:t>
            </w:r>
          </w:p>
        </w:tc>
        <w:tc>
          <w:tcPr>
            <w:tcW w:type="pct" w:w="4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Field service visits — mirrors SV_Maint_Appointments (3.3M rows prod)</w:t>
            </w:r>
          </w:p>
        </w:tc>
      </w:tr>
      <w:tr>
        <w:tc>
          <w:tcPr>
            <w:tcW w:type="pct" w:w="14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5F5" w:color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dbo</w:t>
            </w:r>
          </w:p>
        </w:tc>
        <w:tc>
          <w:tcPr>
            <w:tcW w:type="pct" w:w="2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5F5" w:color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dim_customers</w:t>
            </w:r>
          </w:p>
        </w:tc>
        <w:tc>
          <w:tcPr>
            <w:tcW w:type="pct" w:w="16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5F5" w:color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5,000</w:t>
            </w:r>
          </w:p>
        </w:tc>
        <w:tc>
          <w:tcPr>
            <w:tcW w:type="pct" w:w="4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5F5" w:color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Customer dimension — Canadian postal codes, Ontario-weighted</w:t>
            </w:r>
          </w:p>
        </w:tc>
      </w:tr>
      <w:tr>
        <w:tc>
          <w:tcPr>
            <w:tcW w:type="pct" w:w="14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dbo</w:t>
            </w:r>
          </w:p>
        </w:tc>
        <w:tc>
          <w:tcPr>
            <w:tcW w:type="pct" w:w="2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fct_pp_contract_renewals</w:t>
            </w:r>
          </w:p>
        </w:tc>
        <w:tc>
          <w:tcPr>
            <w:tcW w:type="pct" w:w="16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5,000</w:t>
            </w:r>
          </w:p>
        </w:tc>
        <w:tc>
          <w:tcPr>
            <w:tcW w:type="pct" w:w="4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PP renewal outcomes by billing system (Zuora/NS/Clarify)</w:t>
            </w:r>
          </w:p>
        </w:tc>
      </w:tr>
      <w:tr>
        <w:tc>
          <w:tcPr>
            <w:tcW w:type="pct" w:w="14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5F5" w:color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dbo</w:t>
            </w:r>
          </w:p>
        </w:tc>
        <w:tc>
          <w:tcPr>
            <w:tcW w:type="pct" w:w="2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5F5" w:color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ref_kpi_definitions</w:t>
            </w:r>
          </w:p>
        </w:tc>
        <w:tc>
          <w:tcPr>
            <w:tcW w:type="pct" w:w="16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5F5" w:color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5</w:t>
            </w:r>
          </w:p>
        </w:tc>
        <w:tc>
          <w:tcPr>
            <w:tcW w:type="pct" w:w="4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5F5" w:color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Certified KPI definitions — the single metadata source of truth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Demo Correlation (baked into synthetic data)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The key insight the demo surfaces: customers who called the billing queue in Q1 have a PP renewal rate of </w:t>
      </w:r>
      <w:r>
        <w:rPr>
          <w:rFonts w:ascii="Arial" w:cs="Arial" w:eastAsia="Arial" w:hAnsi="Arial"/>
          <w:b/>
          <w:bCs/>
          <w:i w:val="false"/>
          <w:iCs w:val="false"/>
          <w:color w:val="333333"/>
          <w:sz w:val="18"/>
          <w:szCs w:val="18"/>
        </w:rPr>
        <w:t xml:space="preserve">57% versus 76%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 for customers who did not call billing — a 19 percentage point gap. This correlation exists in the synthetic data and is the finding Copilot surfaces, then writes back to Purview as an annotation on ref_cc_billing_adjustment_category. This mirrors Enercare's real concern that billing confusion is driving Protection Plan lapse.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Certified KPIs</w:t>
      </w:r>
    </w:p>
    <w:p>
      <w:pPr>
        <w:spacing w:before="40"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tcBorders>
              <w:top w:val="single" w:color="0078D4" w:sz="4"/>
              <w:left w:val="single" w:color="BFBFBF" w:sz="4"/>
              <w:bottom w:val="single" w:color="0078D4" w:sz="4"/>
              <w:right w:val="single" w:color="BFBFBF" w:sz="4"/>
            </w:tcBorders>
            <w:shd w:fill="E6F2FB" w:color="E6F2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78D4"/>
                <w:sz w:val="18"/>
                <w:szCs w:val="18"/>
              </w:rPr>
              <w:t xml:space="preserve">KPI Code</w:t>
            </w:r>
          </w:p>
        </w:tc>
        <w:tc>
          <w:tcPr>
            <w:tcW w:type="pct" w:w="28%"/>
            <w:tcBorders>
              <w:top w:val="single" w:color="0078D4" w:sz="4"/>
              <w:left w:val="single" w:color="BFBFBF" w:sz="4"/>
              <w:bottom w:val="single" w:color="0078D4" w:sz="4"/>
              <w:right w:val="single" w:color="BFBFBF" w:sz="4"/>
            </w:tcBorders>
            <w:shd w:fill="E6F2FB" w:color="E6F2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78D4"/>
                <w:sz w:val="18"/>
                <w:szCs w:val="18"/>
              </w:rPr>
              <w:t xml:space="preserve">Name</w:t>
            </w:r>
          </w:p>
        </w:tc>
        <w:tc>
          <w:tcPr>
            <w:tcW w:type="pct" w:w="12%"/>
            <w:tcBorders>
              <w:top w:val="single" w:color="0078D4" w:sz="4"/>
              <w:left w:val="single" w:color="BFBFBF" w:sz="4"/>
              <w:bottom w:val="single" w:color="0078D4" w:sz="4"/>
              <w:right w:val="single" w:color="BFBFBF" w:sz="4"/>
            </w:tcBorders>
            <w:shd w:fill="E6F2FB" w:color="E6F2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78D4"/>
                <w:sz w:val="18"/>
                <w:szCs w:val="18"/>
              </w:rPr>
              <w:t xml:space="preserve">Target</w:t>
            </w:r>
          </w:p>
        </w:tc>
        <w:tc>
          <w:tcPr>
            <w:tcW w:type="pct" w:w="12%"/>
            <w:tcBorders>
              <w:top w:val="single" w:color="0078D4" w:sz="4"/>
              <w:left w:val="single" w:color="BFBFBF" w:sz="4"/>
              <w:bottom w:val="single" w:color="0078D4" w:sz="4"/>
              <w:right w:val="single" w:color="BFBFBF" w:sz="4"/>
            </w:tcBorders>
            <w:shd w:fill="E6F2FB" w:color="E6F2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78D4"/>
                <w:sz w:val="18"/>
                <w:szCs w:val="18"/>
              </w:rPr>
              <w:t xml:space="preserve">Warning</w:t>
            </w:r>
          </w:p>
        </w:tc>
        <w:tc>
          <w:tcPr>
            <w:tcW w:type="pct" w:w="33%"/>
            <w:tcBorders>
              <w:top w:val="single" w:color="0078D4" w:sz="4"/>
              <w:left w:val="single" w:color="BFBFBF" w:sz="4"/>
              <w:bottom w:val="single" w:color="0078D4" w:sz="4"/>
              <w:right w:val="single" w:color="BFBFBF" w:sz="4"/>
            </w:tcBorders>
            <w:shd w:fill="E6F2FB" w:color="E6F2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78D4"/>
                <w:sz w:val="18"/>
                <w:szCs w:val="18"/>
              </w:rPr>
              <w:t xml:space="preserve">Source Column</w:t>
            </w:r>
          </w:p>
        </w:tc>
      </w:tr>
      <w:tr>
        <w:tc>
          <w:tcPr>
            <w:tcW w:type="pct" w:w="1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FCR</w:t>
            </w:r>
          </w:p>
        </w:tc>
        <w:tc>
          <w:tcPr>
            <w:tcW w:type="pct" w:w="2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First Contact Resolution</w:t>
            </w:r>
          </w:p>
        </w:tc>
        <w:tc>
          <w:tcPr>
            <w:tcW w:type="pct" w:w="1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78%</w:t>
            </w:r>
          </w:p>
        </w:tc>
        <w:tc>
          <w:tcPr>
            <w:tcW w:type="pct" w:w="1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&lt; 72%</w:t>
            </w:r>
          </w:p>
        </w:tc>
        <w:tc>
          <w:tcPr>
            <w:tcW w:type="pct" w:w="33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fct_cc_interactions.fcr_flg</w:t>
            </w:r>
          </w:p>
        </w:tc>
      </w:tr>
      <w:tr>
        <w:tc>
          <w:tcPr>
            <w:tcW w:type="pct" w:w="1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5F5" w:color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CSAT</w:t>
            </w:r>
          </w:p>
        </w:tc>
        <w:tc>
          <w:tcPr>
            <w:tcW w:type="pct" w:w="2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5F5" w:color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Customer Satisfaction Score</w:t>
            </w:r>
          </w:p>
        </w:tc>
        <w:tc>
          <w:tcPr>
            <w:tcW w:type="pct" w:w="1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5F5" w:color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4.2 / 5.0</w:t>
            </w:r>
          </w:p>
        </w:tc>
        <w:tc>
          <w:tcPr>
            <w:tcW w:type="pct" w:w="1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5F5" w:color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&lt; 3.8</w:t>
            </w:r>
          </w:p>
        </w:tc>
        <w:tc>
          <w:tcPr>
            <w:tcW w:type="pct" w:w="33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5F5" w:color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fct_cc_interactions.csat_score</w:t>
            </w:r>
          </w:p>
        </w:tc>
      </w:tr>
      <w:tr>
        <w:tc>
          <w:tcPr>
            <w:tcW w:type="pct" w:w="1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PP_RNW_RATE</w:t>
            </w:r>
          </w:p>
        </w:tc>
        <w:tc>
          <w:tcPr>
            <w:tcW w:type="pct" w:w="2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Protection Plan Renewal Rate</w:t>
            </w:r>
          </w:p>
        </w:tc>
        <w:tc>
          <w:tcPr>
            <w:tcW w:type="pct" w:w="1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82%</w:t>
            </w:r>
          </w:p>
        </w:tc>
        <w:tc>
          <w:tcPr>
            <w:tcW w:type="pct" w:w="1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&lt; 75%</w:t>
            </w:r>
          </w:p>
        </w:tc>
        <w:tc>
          <w:tcPr>
            <w:tcW w:type="pct" w:w="33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fct_pp_contract_renewals.renewal_status_code</w:t>
            </w:r>
          </w:p>
        </w:tc>
      </w:tr>
      <w:tr>
        <w:tc>
          <w:tcPr>
            <w:tcW w:type="pct" w:w="1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5F5" w:color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AHT</w:t>
            </w:r>
          </w:p>
        </w:tc>
        <w:tc>
          <w:tcPr>
            <w:tcW w:type="pct" w:w="2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5F5" w:color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Average Handle Time</w:t>
            </w:r>
          </w:p>
        </w:tc>
        <w:tc>
          <w:tcPr>
            <w:tcW w:type="pct" w:w="1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5F5" w:color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420 sec</w:t>
            </w:r>
          </w:p>
        </w:tc>
        <w:tc>
          <w:tcPr>
            <w:tcW w:type="pct" w:w="1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5F5" w:color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&gt; 480 sec</w:t>
            </w:r>
          </w:p>
        </w:tc>
        <w:tc>
          <w:tcPr>
            <w:tcW w:type="pct" w:w="33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5F5" w:color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fct_cc_interactions.handle_time_sec</w:t>
            </w:r>
          </w:p>
        </w:tc>
      </w:tr>
      <w:tr>
        <w:tc>
          <w:tcPr>
            <w:tcW w:type="pct" w:w="15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SLA_BRCH_RATE</w:t>
            </w:r>
          </w:p>
        </w:tc>
        <w:tc>
          <w:tcPr>
            <w:tcW w:type="pct" w:w="2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Field Service SLA Breach Rate</w:t>
            </w:r>
          </w:p>
        </w:tc>
        <w:tc>
          <w:tcPr>
            <w:tcW w:type="pct" w:w="1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5%</w:t>
            </w:r>
          </w:p>
        </w:tc>
        <w:tc>
          <w:tcPr>
            <w:tcW w:type="pct" w:w="1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&gt; 10%</w:t>
            </w:r>
          </w:p>
        </w:tc>
        <w:tc>
          <w:tcPr>
            <w:tcW w:type="pct" w:w="33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fct_sv_service_visits.sla_breach_flg</w:t>
            </w:r>
          </w:p>
        </w:tc>
      </w:tr>
    </w:tbl>
    <w:p>
      <w:pPr>
        <w:pageBreakBefore/>
      </w:pPr>
    </w:p>
    <w:p>
      <w:pPr>
        <w:pBdr>
          <w:bottom w:val="single" w:color="0078D4" w:sz="4"/>
        </w:pBdr>
        <w:spacing w:before="300" w:after="12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Technical Decisions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Metadata Write-Back — Answering the TOM Question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Christopher Dingle asked directly in the 5-5-26 session: "Are there friendly Fabric Python notebook alternatives to TOM? Or do we need a Windows VM for XMLA/TOM support?" Two paths resolve this with no VM and no CLR:</w:t>
      </w:r>
    </w:p>
    <w:p>
      <w:pPr>
        <w:spacing w:before="60"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tcBorders>
              <w:top w:val="single" w:color="0078D4" w:sz="4"/>
              <w:left w:val="single" w:color="BFBFBF" w:sz="4"/>
              <w:bottom w:val="single" w:color="0078D4" w:sz="4"/>
              <w:right w:val="single" w:color="BFBFBF" w:sz="4"/>
            </w:tcBorders>
            <w:shd w:fill="E6F2FB" w:color="E6F2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78D4"/>
                <w:sz w:val="18"/>
                <w:szCs w:val="18"/>
              </w:rPr>
              <w:t xml:space="preserve">Approach</w:t>
            </w:r>
          </w:p>
        </w:tc>
        <w:tc>
          <w:tcPr>
            <w:tcW w:type="pct" w:w="50%"/>
            <w:tcBorders>
              <w:top w:val="single" w:color="0078D4" w:sz="4"/>
              <w:left w:val="single" w:color="BFBFBF" w:sz="4"/>
              <w:bottom w:val="single" w:color="0078D4" w:sz="4"/>
              <w:right w:val="single" w:color="BFBFBF" w:sz="4"/>
            </w:tcBorders>
            <w:shd w:fill="E6F2FB" w:color="E6F2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78D4"/>
                <w:sz w:val="18"/>
                <w:szCs w:val="18"/>
              </w:rPr>
              <w:t xml:space="preserve">How It Works</w:t>
            </w:r>
          </w:p>
        </w:tc>
        <w:tc>
          <w:tcPr>
            <w:tcW w:type="pct" w:w="32%"/>
            <w:tcBorders>
              <w:top w:val="single" w:color="0078D4" w:sz="4"/>
              <w:left w:val="single" w:color="BFBFBF" w:sz="4"/>
              <w:bottom w:val="single" w:color="0078D4" w:sz="4"/>
              <w:right w:val="single" w:color="BFBFBF" w:sz="4"/>
            </w:tcBorders>
            <w:shd w:fill="E6F2FB" w:color="E6F2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78D4"/>
                <w:sz w:val="18"/>
                <w:szCs w:val="18"/>
              </w:rPr>
              <w:t xml:space="preserve">When to Use</w:t>
            </w:r>
          </w:p>
        </w:tc>
      </w:tr>
      <w:tr>
        <w:tc>
          <w:tcPr>
            <w:tcW w:type="pct" w:w="1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sempy_labs (primary)</w:t>
            </w:r>
          </w:p>
        </w:tc>
        <w:tc>
          <w:tcPr>
            <w:tcW w:type="pct" w:w="5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pip install semantic-link-labs. Call sempy_labs.update_descriptions() from any Fabric notebook. Uses TOM over XMLA endpoint. Requires XMLA Read/Write enabled on capacity. Tested and confirmed by Alison Pouw.</w:t>
            </w:r>
          </w:p>
        </w:tc>
        <w:tc>
          <w:tcPr>
            <w:tcW w:type="pct" w:w="3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Column and measure descriptions, model-level metadata</w:t>
            </w:r>
          </w:p>
        </w:tc>
      </w:tr>
      <w:tr>
        <w:tc>
          <w:tcPr>
            <w:tcW w:type="pct" w:w="1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5F5" w:color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Fabric Items REST API</w:t>
            </w:r>
          </w:p>
        </w:tc>
        <w:tc>
          <w:tcPr>
            <w:tcW w:type="pct" w:w="5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5F5" w:color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GET/PUT /v1/workspaces/{id}/semanticModels/{id}/definition returns and accepts full TMDL payload. Standard Python requests + mssparkutils.credentials. No XMLA endpoint required.</w:t>
            </w:r>
          </w:p>
        </w:tc>
        <w:tc>
          <w:tcPr>
            <w:tcW w:type="pct" w:w="3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5F5" w:color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AI instructions, verified answers, full model redefinition</w:t>
            </w:r>
          </w:p>
        </w:tc>
      </w:tr>
      <w:tr>
        <w:tc>
          <w:tcPr>
            <w:tcW w:type="pct" w:w="1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SemPy (read-only)</w:t>
            </w:r>
          </w:p>
        </w:tc>
        <w:tc>
          <w:tcPr>
            <w:tcW w:type="pct" w:w="5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fabric.list_tables() / fabric.list_columns() — reads current model structure and metadata. Cannot write.</w:t>
            </w:r>
          </w:p>
        </w:tc>
        <w:tc>
          <w:tcPr>
            <w:tcW w:type="pct" w:w="3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Extracting current state before enrichment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E6F2FB" w:sz="2"/>
              <w:left w:val="thick" w:color="0078D4" w:sz="16"/>
              <w:bottom w:val="single" w:color="E6F2FB" w:sz="2"/>
              <w:right w:val="single" w:color="E6F2FB" w:sz="2"/>
            </w:tcBorders>
            <w:shd w:fill="E6F2FB" w:color="E6F2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SemPy is read-only for model structure. This is confirmed behavior, not a bug. sempy_labs closes the write gap without requiring Windows infrastructure.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Purview Integration — Path C Architecture</w:t>
      </w:r>
    </w:p>
    <w:p>
      <w:pPr>
        <w:spacing w:before="40"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38%"/>
            <w:tcBorders>
              <w:top w:val="single" w:color="0078D4" w:sz="4"/>
              <w:left w:val="single" w:color="BFBFBF" w:sz="4"/>
              <w:bottom w:val="single" w:color="0078D4" w:sz="4"/>
              <w:right w:val="single" w:color="BFBFBF" w:sz="4"/>
            </w:tcBorders>
            <w:shd w:fill="E6F2FB" w:color="E6F2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78D4"/>
                <w:sz w:val="18"/>
                <w:szCs w:val="18"/>
              </w:rPr>
              <w:t xml:space="preserve">Decision</w:t>
            </w:r>
          </w:p>
        </w:tc>
        <w:tc>
          <w:tcPr>
            <w:tcW w:type="pct" w:w="62%"/>
            <w:tcBorders>
              <w:top w:val="single" w:color="0078D4" w:sz="4"/>
              <w:left w:val="single" w:color="BFBFBF" w:sz="4"/>
              <w:bottom w:val="single" w:color="0078D4" w:sz="4"/>
              <w:right w:val="single" w:color="BFBFBF" w:sz="4"/>
            </w:tcBorders>
            <w:shd w:fill="E6F2FB" w:color="E6F2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78D4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pct" w:w="3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Purview as system of record</w:t>
            </w:r>
          </w:p>
        </w:tc>
        <w:tc>
          <w:tcPr>
            <w:tcW w:type="pct" w:w="6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Only Microsoft surface spanning SQL + OneLake + Fabric + Power BI. Fabric alone is not a governance solution (Alison Pouw, 5-7-26).</w:t>
            </w:r>
          </w:p>
        </w:tc>
      </w:tr>
      <w:tr>
        <w:tc>
          <w:tcPr>
            <w:tcW w:type="pct" w:w="3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5F5" w:color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Downstream sync to semantic models</w:t>
            </w:r>
          </w:p>
        </w:tc>
        <w:tc>
          <w:tcPr>
            <w:tcW w:type="pct" w:w="6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5F5" w:color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Purview is authoritative; semantic model descriptions are consumers. Single edit in OneLake Delta propagates to both surfaces.</w:t>
            </w:r>
          </w:p>
        </w:tc>
      </w:tr>
      <w:tr>
        <w:tc>
          <w:tcPr>
            <w:tcW w:type="pct" w:w="3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PyApacheAtlas for API calls</w:t>
            </w:r>
          </w:p>
        </w:tc>
        <w:tc>
          <w:tcPr>
            <w:tcW w:type="pct" w:w="6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Full Atlas v2 REST access including custom entity types, business metadata, lineage. More flexible than PurviewClient SDK for this use case.</w:t>
            </w:r>
          </w:p>
        </w:tc>
      </w:tr>
      <w:tr>
        <w:tc>
          <w:tcPr>
            <w:tcW w:type="pct" w:w="3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5F5" w:color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OneLake Delta as metadata store</w:t>
            </w:r>
          </w:p>
        </w:tc>
        <w:tc>
          <w:tcPr>
            <w:tcW w:type="pct" w:w="6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5F5" w:color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dbo.ref_kpi_definitions as single source. Version-controlled, queryable, reusable across N semantic models via parameterized pipeline.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Mirroring Scope Decision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8"/>
          <w:szCs w:val="18"/>
        </w:rPr>
        <w:t xml:space="preserve">Fabric mirroring cap is 1,000 tables. Enercare has 1,912 user tables (confirmed in catalog). Demo scopes the mirror to dw_inbnd_t + selected dw_t tables (~300 tables). This is documented in the repo as an architectural decision with rationale. Enercare will need a "selective mirroring strategy" conversation with PG before scaling to production.</w:t>
      </w:r>
    </w:p>
    <w:p>
      <w:pPr>
        <w:pageBreakBefore/>
      </w:pPr>
    </w:p>
    <w:p>
      <w:pPr>
        <w:pBdr>
          <w:bottom w:val="single" w:color="0078D4" w:sz="4"/>
        </w:pBdr>
        <w:spacing w:before="300" w:after="12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How the Metadata Loop Closes</w:t>
      </w:r>
    </w:p>
    <w:p>
      <w:pPr>
        <w:spacing w:before="60"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78D4"/>
          <w:sz w:val="18"/>
          <w:szCs w:val="18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Pipeline runs — dbo.ref_kpi_definitions seeded with certified PP_RNW_RATE, FCR, CSAT, AHT, SLA_BRCH definitions (numerator, denominator, target, calculation logic, steward)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78D4"/>
          <w:sz w:val="18"/>
          <w:szCs w:val="18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sempy_labs writes KPI definitions to semantic model column and measure descriptions via TOM/XMLA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78D4"/>
          <w:sz w:val="18"/>
          <w:szCs w:val="18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Fabric Items REST API writes AI instructions and verified answers into TMDL (these require the Items API, not sempy_labs)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78D4"/>
          <w:sz w:val="18"/>
          <w:szCs w:val="18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PyApacheAtlas registers all dw_inbnd_t + dw_t table/column assets in Purview with EnercareBusinessSemantics business metadata attributes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78D4"/>
          <w:sz w:val="18"/>
          <w:szCs w:val="18"/>
        </w:rPr>
        <w:t xml:space="preserve">5. </w:t>
      </w: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Purview glossary term "Protection Plan Renewal Rate" created and linked to fct_pp_contract_renewals.renewal_status_code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78D4"/>
          <w:sz w:val="18"/>
          <w:szCs w:val="18"/>
        </w:rPr>
        <w:t xml:space="preserve">6. </w:t>
      </w: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Standalone Copilot queries the certified semantic model — verified answer returned for PP_RNW_RATE (deterministic, not generative)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78D4"/>
          <w:sz w:val="18"/>
          <w:szCs w:val="18"/>
        </w:rPr>
        <w:t xml:space="preserve">7. </w:t>
      </w: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Copilot surfaces the demo correlation: "57% renewal rate for billing queue callers in Q1 vs 76% for non-billing callers"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78D4"/>
          <w:sz w:val="18"/>
          <w:szCs w:val="18"/>
        </w:rPr>
        <w:t xml:space="preserve">8. </w:t>
      </w: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write_back_insight.py posts AI annotation to Purview business metadata on ref_cc_billing_adjustment_category: "41% of PP non-renewals followed billing queue calls. Billing confusion correlated with invoice_date ambiguity across ZUORA/NS/CLARIFY systems."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78D4"/>
          <w:sz w:val="18"/>
          <w:szCs w:val="18"/>
        </w:rPr>
        <w:t xml:space="preserve">9. </w:t>
      </w: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Next Copilot query for billing adjustment data surfaces the annotation in context — the metadata is now enriched by the AI's analysis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78D4"/>
          <w:sz w:val="18"/>
          <w:szCs w:val="18"/>
        </w:rPr>
        <w:t xml:space="preserve">10. </w:t>
      </w: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Data stewards reviewing ref_cc_billing_adjustment_category in Purview 3 months later see not just schema descriptions but AI-linked business insight — no manual documentation required</w:t>
      </w:r>
    </w:p>
    <w:p>
      <w:pPr>
        <w:spacing w:before="120" w:after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E6F2FB" w:sz="2"/>
              <w:left w:val="thick" w:color="0078D4" w:sz="16"/>
              <w:bottom w:val="single" w:color="E6F2FB" w:sz="2"/>
              <w:right w:val="single" w:color="E6F2FB" w:sz="2"/>
            </w:tcBorders>
            <w:shd w:fill="E6F2FB" w:color="E6F2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The loop is closed when metadata generated by AI usage flows back to enrich the catalog that AI reads from. Each cycle leaves the governed metadata layer smarter than before — without manual re-entry.</w:t>
            </w:r>
          </w:p>
        </w:tc>
      </w:tr>
    </w:tbl>
    <w:p>
      <w:pPr>
        <w:pageBreakBefore/>
      </w:pPr>
    </w:p>
    <w:p>
      <w:pPr>
        <w:pBdr>
          <w:bottom w:val="single" w:color="0078D4" w:sz="4"/>
        </w:pBdr>
        <w:spacing w:before="300" w:after="12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Build Components &amp; Current Status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Repository Structure</w:t>
      </w:r>
    </w:p>
    <w:p>
      <w:pPr>
        <w:spacing w:before="40"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tcBorders>
              <w:top w:val="single" w:color="0078D4" w:sz="4"/>
              <w:left w:val="single" w:color="BFBFBF" w:sz="4"/>
              <w:bottom w:val="single" w:color="0078D4" w:sz="4"/>
              <w:right w:val="single" w:color="BFBFBF" w:sz="4"/>
            </w:tcBorders>
            <w:shd w:fill="E6F2FB" w:color="E6F2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78D4"/>
                <w:sz w:val="18"/>
                <w:szCs w:val="18"/>
              </w:rPr>
              <w:t xml:space="preserve">Path</w:t>
            </w:r>
          </w:p>
        </w:tc>
        <w:tc>
          <w:tcPr>
            <w:tcW w:type="pct" w:w="50%"/>
            <w:tcBorders>
              <w:top w:val="single" w:color="0078D4" w:sz="4"/>
              <w:left w:val="single" w:color="BFBFBF" w:sz="4"/>
              <w:bottom w:val="single" w:color="0078D4" w:sz="4"/>
              <w:right w:val="single" w:color="BFBFBF" w:sz="4"/>
            </w:tcBorders>
            <w:shd w:fill="E6F2FB" w:color="E6F2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78D4"/>
                <w:sz w:val="18"/>
                <w:szCs w:val="18"/>
              </w:rPr>
              <w:t xml:space="preserve">Contents</w:t>
            </w:r>
          </w:p>
        </w:tc>
        <w:tc>
          <w:tcPr>
            <w:tcW w:type="pct" w:w="22%"/>
            <w:tcBorders>
              <w:top w:val="single" w:color="0078D4" w:sz="4"/>
              <w:left w:val="single" w:color="BFBFBF" w:sz="4"/>
              <w:bottom w:val="single" w:color="0078D4" w:sz="4"/>
              <w:right w:val="single" w:color="BFBFBF" w:sz="4"/>
            </w:tcBorders>
            <w:shd w:fill="E6F2FB" w:color="E6F2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78D4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pct" w:w="2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.github/copilot-instructions.md</w:t>
            </w:r>
          </w:p>
        </w:tc>
        <w:tc>
          <w:tcPr>
            <w:tcW w:type="pct" w:w="5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Auto-loaded GHCP context: domain, naming conventions, constraints, resolved technical decisions</w:t>
            </w:r>
          </w:p>
        </w:tc>
        <w:tc>
          <w:tcPr>
            <w:tcW w:type="pct" w:w="2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Complete</w:t>
            </w:r>
          </w:p>
        </w:tc>
      </w:tr>
      <w:tr>
        <w:tc>
          <w:tcPr>
            <w:tcW w:type="pct" w:w="2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5F5" w:color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.github/prompts/01–06.prompt.md</w:t>
            </w:r>
          </w:p>
        </w:tc>
        <w:tc>
          <w:tcPr>
            <w:tcW w:type="pct" w:w="5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5F5" w:color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Sequenced GHCP build prompts (DDL → data gen → notebooks → Purview → loop → demo)</w:t>
            </w:r>
          </w:p>
        </w:tc>
        <w:tc>
          <w:tcPr>
            <w:tcW w:type="pct" w:w="2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5F5" w:color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Complete</w:t>
            </w:r>
          </w:p>
        </w:tc>
      </w:tr>
      <w:tr>
        <w:tc>
          <w:tcPr>
            <w:tcW w:type="pct" w:w="2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context/*.json</w:t>
            </w:r>
          </w:p>
        </w:tc>
        <w:tc>
          <w:tcPr>
            <w:tcW w:type="pct" w:w="5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kpi-definitions · enercare-schemas · data-gen-config · purview-type-defs · api-endpoints</w:t>
            </w:r>
          </w:p>
        </w:tc>
        <w:tc>
          <w:tcPr>
            <w:tcW w:type="pct" w:w="2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Complete</w:t>
            </w:r>
          </w:p>
        </w:tc>
      </w:tr>
      <w:tr>
        <w:tc>
          <w:tcPr>
            <w:tcW w:type="pct" w:w="2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5F5" w:color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schemas/sql/</w:t>
            </w:r>
          </w:p>
        </w:tc>
        <w:tc>
          <w:tcPr>
            <w:tcW w:type="pct" w:w="5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5F5" w:color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DDL files using Enercare naming conventions (dw_inbnd_t, dw_t, dbo schemas)</w:t>
            </w:r>
          </w:p>
        </w:tc>
        <w:tc>
          <w:tcPr>
            <w:tcW w:type="pct" w:w="2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5F5" w:color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Ready to generate</w:t>
            </w:r>
          </w:p>
        </w:tc>
      </w:tr>
      <w:tr>
        <w:tc>
          <w:tcPr>
            <w:tcW w:type="pct" w:w="2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scripts/generate/</w:t>
            </w:r>
          </w:p>
        </w:tc>
        <w:tc>
          <w:tcPr>
            <w:tcW w:type="pct" w:w="5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Synthetic data generators — Faker en_CA, realistic distributions, demo correlation</w:t>
            </w:r>
          </w:p>
        </w:tc>
        <w:tc>
          <w:tcPr>
            <w:tcW w:type="pct" w:w="2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Ready to generate</w:t>
            </w:r>
          </w:p>
        </w:tc>
      </w:tr>
      <w:tr>
        <w:tc>
          <w:tcPr>
            <w:tcW w:type="pct" w:w="2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5F5" w:color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scripts/purview/</w:t>
            </w:r>
          </w:p>
        </w:tc>
        <w:tc>
          <w:tcPr>
            <w:tcW w:type="pct" w:w="5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5F5" w:color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register_type_defs · register_assets · register_lineage · populate_glossary · write_back_insight</w:t>
            </w:r>
          </w:p>
        </w:tc>
        <w:tc>
          <w:tcPr>
            <w:tcW w:type="pct" w:w="2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5F5" w:color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Ready to generate</w:t>
            </w:r>
          </w:p>
        </w:tc>
      </w:tr>
      <w:tr>
        <w:tc>
          <w:tcPr>
            <w:tcW w:type="pct" w:w="2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scripts/metadata/</w:t>
            </w:r>
          </w:p>
        </w:tc>
        <w:tc>
          <w:tcPr>
            <w:tcW w:type="pct" w:w="5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sempy_labs enrichment + Fabric Items API write</w:t>
            </w:r>
          </w:p>
        </w:tc>
        <w:tc>
          <w:tcPr>
            <w:tcW w:type="pct" w:w="2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Ready to generate</w:t>
            </w:r>
          </w:p>
        </w:tc>
      </w:tr>
      <w:tr>
        <w:tc>
          <w:tcPr>
            <w:tcW w:type="pct" w:w="2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5F5" w:color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scripts/loop/close_loop.py</w:t>
            </w:r>
          </w:p>
        </w:tc>
        <w:tc>
          <w:tcPr>
            <w:tcW w:type="pct" w:w="5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5F5" w:color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End-to-end orchestration with --demo presenter flag</w:t>
            </w:r>
          </w:p>
        </w:tc>
        <w:tc>
          <w:tcPr>
            <w:tcW w:type="pct" w:w="2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5F5" w:color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Ready to generate</w:t>
            </w:r>
          </w:p>
        </w:tc>
      </w:tr>
      <w:tr>
        <w:tc>
          <w:tcPr>
            <w:tcW w:type="pct" w:w="2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notebooks/01–04</w:t>
            </w:r>
          </w:p>
        </w:tc>
        <w:tc>
          <w:tcPr>
            <w:tcW w:type="pct" w:w="5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Bronze ingestion · Silver transform · Gold semantic · Metadata enrich + write-back</w:t>
            </w:r>
          </w:p>
        </w:tc>
        <w:tc>
          <w:tcPr>
            <w:tcW w:type="pct" w:w="2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Ready to generate</w:t>
            </w:r>
          </w:p>
        </w:tc>
      </w:tr>
      <w:tr>
        <w:tc>
          <w:tcPr>
            <w:tcW w:type="pct" w:w="2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5F5" w:color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copilot/</w:t>
            </w:r>
          </w:p>
        </w:tc>
        <w:tc>
          <w:tcPr>
            <w:tcW w:type="pct" w:w="5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5F5" w:color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Verified answers JSON · AI instructions · Demo scenario scripts</w:t>
            </w:r>
          </w:p>
        </w:tc>
        <w:tc>
          <w:tcPr>
            <w:tcW w:type="pct" w:w="2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5F5" w:color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Ready to generate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Sprint Estimate with GitHub Copilot</w:t>
      </w:r>
    </w:p>
    <w:p>
      <w:pPr>
        <w:spacing w:before="40"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0078D4" w:sz="4"/>
              <w:left w:val="single" w:color="BFBFBF" w:sz="4"/>
              <w:bottom w:val="single" w:color="0078D4" w:sz="4"/>
              <w:right w:val="single" w:color="BFBFBF" w:sz="4"/>
            </w:tcBorders>
            <w:shd w:fill="E6F2FB" w:color="E6F2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78D4"/>
                <w:sz w:val="18"/>
                <w:szCs w:val="18"/>
              </w:rPr>
              <w:t xml:space="preserve">Sprint</w:t>
            </w:r>
          </w:p>
        </w:tc>
        <w:tc>
          <w:tcPr>
            <w:tcW w:type="pct" w:w="70%"/>
            <w:tcBorders>
              <w:top w:val="single" w:color="0078D4" w:sz="4"/>
              <w:left w:val="single" w:color="BFBFBF" w:sz="4"/>
              <w:bottom w:val="single" w:color="0078D4" w:sz="4"/>
              <w:right w:val="single" w:color="BFBFBF" w:sz="4"/>
            </w:tcBorders>
            <w:shd w:fill="E6F2FB" w:color="E6F2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78D4"/>
                <w:sz w:val="18"/>
                <w:szCs w:val="18"/>
              </w:rPr>
              <w:t xml:space="preserve">Estimated Active Work</w:t>
            </w:r>
          </w:p>
        </w:tc>
      </w:tr>
      <w:tr>
        <w:tc>
          <w:tcPr>
            <w:tcW w:type="pct" w:w="3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1-day sprint (GHCP-accelerated)</w:t>
            </w:r>
          </w:p>
        </w:tc>
        <w:tc>
          <w:tcPr>
            <w:tcW w:type="pct" w:w="7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Run prompts 01→06 sequentially, upload to Fabric, run notebooks, validate loop. Realistic with GHCP doing generation.</w:t>
            </w:r>
          </w:p>
        </w:tc>
      </w:tr>
      <w:tr>
        <w:tc>
          <w:tcPr>
            <w:tcW w:type="pct" w:w="3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5F5" w:color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4-day build</w:t>
            </w:r>
          </w:p>
        </w:tc>
        <w:tc>
          <w:tcPr>
            <w:tcW w:type="pct" w:w="7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5F5" w:color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Includes iteration, Purview registration debugging, demo polish, README, GitHub Actions validation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Open Items — SE Team Action Required</w:t>
      </w:r>
    </w:p>
    <w:p>
      <w:pPr>
        <w:spacing w:before="40"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78D4"/>
          <w:sz w:val="18"/>
          <w:szCs w:val="18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XMLA endpoint: Confirm XMLA Read/Write is enabled on the demo Fabric capacity — required for sempy_labs path. (Action: capacity admin)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78D4"/>
          <w:sz w:val="18"/>
          <w:szCs w:val="18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Standalone Copilot preview: Confirm "Chat with your data" preview is enabled in demo tenant — required for verified answers demo. (Action: Power BI admin)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78D4"/>
          <w:sz w:val="18"/>
          <w:szCs w:val="18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EARB response: Brian Lung is DRI for cross-border Fabric Data Agent approval response. PG asked to provide defensible content for Enercare IT legal. (Action: Brian Lung + PG)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78D4"/>
          <w:sz w:val="18"/>
          <w:szCs w:val="18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Metadata strategy update: Action item from 5-5-26 — Brian + Sean to provide Christopher with update on metadata storage alternatives and write-back path. This document + the sempy_labs answer covers this. (Action: Sean Kelley — due EOW 5-9-26)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78D4"/>
          <w:sz w:val="18"/>
          <w:szCs w:val="18"/>
        </w:rPr>
        <w:t xml:space="preserve">5. </w:t>
      </w: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Alison's suggestion: Consider Purview DSPM for AI for prompt monitoring on the Data Agent surface. Add to Phase 2 scope conversation with Enercare. (Action: Alison Pouw)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78D4"/>
          <w:sz w:val="18"/>
          <w:szCs w:val="18"/>
        </w:rPr>
        <w:t xml:space="preserve">6. </w:t>
      </w: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Repo access: Repo is public (https://github.com/RangerXP/BrookfieldEnercare-Fabric-Solution) — confirm team members have been added as collaborators if contribution is needed.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i/>
        <w:iCs/>
        <w:color w:val="666666"/>
        <w:sz w:val="14"/>
        <w:szCs w:val="14"/>
      </w:rPr>
      <w:t xml:space="preserve">Microsoft Confidential — Internal Use Only  |  Enercare Fabric + Purview Demo  |  May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2026-05-07T05:23:21.116Z</dcterms:created>
  <dcterms:modified xsi:type="dcterms:W3CDTF">2026-05-07T05:23:21.122Z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