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化学教具产品线 — 产品需求文档（PRD）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所属产品线：</w:t>
      </w:r>
      <w:r>
        <w:rPr>
          <w:rFonts w:eastAsia="等线" w:ascii="Arial" w:cs="Arial" w:hAnsi="Arial"/>
          <w:sz w:val="22"/>
        </w:rPr>
        <w:t xml:space="preserve"> 可视化产品 · 学科模板引擎 · 化学模板库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初中 / 高中化学教师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输出形态：</w:t>
      </w:r>
      <w:r>
        <w:rPr>
          <w:rFonts w:eastAsia="等线" w:ascii="Arial" w:cs="Arial" w:hAnsi="Arial"/>
          <w:sz w:val="22"/>
        </w:rPr>
        <w:t xml:space="preserve"> 单个 HTML 文件，浏览器打开即用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文档版本：</w:t>
      </w:r>
      <w:r>
        <w:rPr>
          <w:rFonts w:eastAsia="等线" w:ascii="Arial" w:cs="Arial" w:hAnsi="Arial"/>
          <w:sz w:val="22"/>
        </w:rPr>
        <w:t xml:space="preserve"> V2.0 ｜ 2026-03-08（根据资深化学教师审阅意见修订）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审阅人：</w:t>
      </w:r>
      <w:r>
        <w:rPr>
          <w:rFonts w:eastAsia="等线" w:ascii="Arial" w:cs="Arial" w:hAnsi="Arial"/>
          <w:sz w:val="22"/>
        </w:rPr>
        <w:t xml:space="preserve"> 马老师（北京大学毕业，知名资深高中化学竞赛教练）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可以查看下面这个链接：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https://poetic-chimera-040e45.netlify.app/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color w:val="d83931"/>
          <w:sz w:val="32"/>
        </w:rPr>
        <w:t>目录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1.</w:t>
      </w:r>
      <w:r>
        <w:rPr>
          <w:rFonts w:eastAsia="等线" w:ascii="Arial" w:cs="Arial" w:hAnsi="Arial"/>
          <w:sz w:val="22"/>
        </w:rPr>
        <w:t xml:space="preserve"> 文档说明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</w:t>
      </w:r>
      <w:r>
        <w:rPr>
          <w:rFonts w:eastAsia="等线" w:ascii="Arial" w:cs="Arial" w:hAnsi="Arial"/>
          <w:sz w:val="22"/>
        </w:rPr>
        <w:t xml:space="preserve"> 产品优先级总览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3.</w:t>
      </w:r>
      <w:r>
        <w:rPr>
          <w:rFonts w:eastAsia="等线" w:ascii="Arial" w:cs="Arial" w:hAnsi="Arial"/>
          <w:sz w:val="22"/>
        </w:rPr>
        <w:t xml:space="preserve"> 通用技术规范（含视觉规范与主题色）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4.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C-03</w:t>
      </w:r>
      <w:r>
        <w:rPr>
          <w:rFonts w:eastAsia="等线" w:ascii="Arial" w:cs="Arial" w:hAnsi="Arial"/>
          <w:sz w:val="22"/>
        </w:rPr>
        <w:t xml:space="preserve"> 化学方程式配平器与纠错系统 — </w:t>
      </w:r>
      <w:r>
        <w:rPr>
          <w:rFonts w:eastAsia="等线" w:ascii="Arial" w:cs="Arial" w:hAnsi="Arial"/>
          <w:color w:val="d83931"/>
          <w:sz w:val="22"/>
        </w:rPr>
        <w:t>`P0 MVP`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5.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C-04</w:t>
      </w:r>
      <w:r>
        <w:rPr>
          <w:rFonts w:eastAsia="等线" w:ascii="Arial" w:cs="Arial" w:hAnsi="Arial"/>
          <w:sz w:val="22"/>
        </w:rPr>
        <w:t xml:space="preserve"> 元素周期表交互平台 — </w:t>
      </w:r>
      <w:r>
        <w:rPr>
          <w:rFonts w:eastAsia="等线" w:ascii="Arial" w:cs="Arial" w:hAnsi="Arial"/>
          <w:color w:val="d83931"/>
          <w:sz w:val="22"/>
        </w:rPr>
        <w:t>`P0 MVP`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6.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C-02</w:t>
      </w:r>
      <w:r>
        <w:rPr>
          <w:rFonts w:eastAsia="等线" w:ascii="Arial" w:cs="Arial" w:hAnsi="Arial"/>
          <w:sz w:val="22"/>
        </w:rPr>
        <w:t xml:space="preserve"> 分子结构查看器 — </w:t>
      </w:r>
      <w:r>
        <w:rPr>
          <w:rFonts w:eastAsia="等线" w:ascii="Arial" w:cs="Arial" w:hAnsi="Arial"/>
          <w:color w:val="d83931"/>
          <w:sz w:val="22"/>
        </w:rPr>
        <w:t>`P1 MVP`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7.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C-05</w:t>
      </w:r>
      <w:r>
        <w:rPr>
          <w:rFonts w:eastAsia="等线" w:ascii="Arial" w:cs="Arial" w:hAnsi="Arial"/>
          <w:sz w:val="22"/>
        </w:rPr>
        <w:t xml:space="preserve"> 化学键与晶体结构查看器 — </w:t>
      </w:r>
      <w:r>
        <w:rPr>
          <w:rFonts w:eastAsia="等线" w:ascii="Arial" w:cs="Arial" w:hAnsi="Arial"/>
          <w:color w:val="d83931"/>
          <w:sz w:val="22"/>
        </w:rPr>
        <w:t>`P1 MVP`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8.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C-07</w:t>
      </w:r>
      <w:r>
        <w:rPr>
          <w:rFonts w:eastAsia="等线" w:ascii="Arial" w:cs="Arial" w:hAnsi="Arial"/>
          <w:sz w:val="22"/>
        </w:rPr>
        <w:t xml:space="preserve"> 化学反应速率与平衡模拟器 — </w:t>
      </w:r>
      <w:r>
        <w:rPr>
          <w:rFonts w:eastAsia="等线" w:ascii="Arial" w:cs="Arial" w:hAnsi="Arial"/>
          <w:color w:val="d83931"/>
          <w:sz w:val="22"/>
        </w:rPr>
        <w:t>`P2`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9.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C-06</w:t>
      </w:r>
      <w:r>
        <w:rPr>
          <w:rFonts w:eastAsia="等线" w:ascii="Arial" w:cs="Arial" w:hAnsi="Arial"/>
          <w:sz w:val="22"/>
        </w:rPr>
        <w:t xml:space="preserve"> 电化学演示台 — </w:t>
      </w:r>
      <w:r>
        <w:rPr>
          <w:rFonts w:eastAsia="等线" w:ascii="Arial" w:cs="Arial" w:hAnsi="Arial"/>
          <w:color w:val="d83931"/>
          <w:sz w:val="22"/>
        </w:rPr>
        <w:t>`P2`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10.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C-09</w:t>
      </w:r>
      <w:r>
        <w:rPr>
          <w:rFonts w:eastAsia="等线" w:ascii="Arial" w:cs="Arial" w:hAnsi="Arial"/>
          <w:sz w:val="22"/>
        </w:rPr>
        <w:t xml:space="preserve"> 有机化学反应路径图（简化版）— </w:t>
      </w:r>
      <w:r>
        <w:rPr>
          <w:rFonts w:eastAsia="等线" w:ascii="Arial" w:cs="Arial" w:hAnsi="Arial"/>
          <w:color w:val="d83931"/>
          <w:sz w:val="22"/>
        </w:rPr>
        <w:t>`P3`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11.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C-08</w:t>
      </w:r>
      <w:r>
        <w:rPr>
          <w:rFonts w:eastAsia="等线" w:ascii="Arial" w:cs="Arial" w:hAnsi="Arial"/>
          <w:sz w:val="22"/>
        </w:rPr>
        <w:t xml:space="preserve"> 酸碱滴定与 pH 模拟器（小品模块）— </w:t>
      </w:r>
      <w:r>
        <w:rPr>
          <w:rFonts w:eastAsia="等线" w:ascii="Arial" w:cs="Arial" w:hAnsi="Arial"/>
          <w:color w:val="d83931"/>
          <w:sz w:val="22"/>
        </w:rPr>
        <w:t>`P3`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12.</w:t>
      </w:r>
      <w:r>
        <w:rPr>
          <w:rFonts w:eastAsia="等线" w:ascii="Arial" w:cs="Arial" w:hAnsi="Arial"/>
          <w:sz w:val="22"/>
        </w:rPr>
        <w:t xml:space="preserve"> 暂缓 / 删除模块说明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13.</w:t>
      </w:r>
      <w:r>
        <w:rPr>
          <w:rFonts w:eastAsia="等线" w:ascii="Arial" w:cs="Arial" w:hAnsi="Arial"/>
          <w:sz w:val="22"/>
        </w:rPr>
        <w:t xml:space="preserve"> 数据参考文档索引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14.</w:t>
      </w:r>
      <w:r>
        <w:rPr>
          <w:rFonts w:eastAsia="等线" w:ascii="Arial" w:cs="Arial" w:hAnsi="Arial"/>
          <w:sz w:val="22"/>
        </w:rPr>
        <w:t xml:space="preserve"> 附录：CSS 样式参考代码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color w:val="d83931"/>
          <w:sz w:val="32"/>
        </w:rPr>
        <w:t>1. 文档说明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color w:val="d83931"/>
          <w:sz w:val="30"/>
        </w:rPr>
        <w:t>1.1 修订背景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本文档基于《化学教具产品清单 V1.0》初稿，经资深化学教师（马老师）逐条审阅批注后重新整理。教师的核心审阅意见已全部融入各模块需求。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color w:val="d83931"/>
          <w:sz w:val="30"/>
        </w:rPr>
        <w:t>1.2 文档体系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本文档（主文档）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功能逻辑、交互规范、技术实现指引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工程师、产品经理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data/C04_元素周期表_元素数据.md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118 个元素的完整介绍文本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工程师（数据录入）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data/C05_晶体结构数据.md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晶体模型的结构参数与数据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工程师（3D 模型构建）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data/C03_方程式题库数据.md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配平练习方程式及配平方法标注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工程师（题库录入）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data/C06_电化学模型数据.md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各电池模型的电极反应与参数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工程师（模型构建）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data/C07_反应平衡数据.md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反应平衡的热力学参数与演示数据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工程师（模拟器参数）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data/C09_有机反应路径数据.md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官能团转化网络的反应条件数据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工程师（路径图数据）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data/C02_分子结构数据.md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分子库的结构参数与 3D 坐标数据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工程师（分子模型）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color w:val="d83931"/>
          <w:sz w:val="30"/>
        </w:rPr>
        <w:t>1.3 审阅意见分类标记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本文档中以如下方式标记教师审阅意见的处理结果：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— 已完全按教师意见修改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教师意见-部分采纳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— 采纳核心观点，在实现层面做了适配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教师意见-存疑待议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— 需与教师进一步确认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color w:val="d83931"/>
          <w:sz w:val="32"/>
        </w:rPr>
        <w:t>2. 产品优先级总览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根据教师审阅意见，对原 11 个模块重新排列优先级：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color w:val="d83931"/>
          <w:sz w:val="30"/>
        </w:rPr>
        <w:t>2.1 优先级矩阵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85"/>
        <w:gridCol w:w="1470"/>
        <w:gridCol w:w="2070"/>
        <w:gridCol w:w="2070"/>
        <w:gridCol w:w="2070"/>
      </w:tblGrid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教师评价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化学方程式配平器与纠错系统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"可行性高，易实现且简单"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首批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元素周期表交互平台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认可需要，有大量修改意见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首批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分子结构查看器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"比虚拟实验实用一些"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首批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化学键与晶体结构查看器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认可需要，补充了大量专业要求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首批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化学反应速率与平衡模拟器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认可需要，有详细修改意见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第二批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电化学演示台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"很难做，虽然是高考必考点"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第二批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有机化学反应路径图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"做个轮盘式思维导图就能解决"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第二批（简化）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酸碱滴定与 pH 模拟器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"小品功能，容易完成"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第二批（小模块）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虚拟化学实验台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"不作为 MVP，改为实验原理演示"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暂缓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化学实验安全教育模拟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"要么不做，要么做成大模块"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暂缓</w:t>
            </w:r>
          </w:p>
        </w:tc>
      </w:tr>
      <w:tr>
        <w:tc>
          <w:tcPr>
            <w:tcW w:w="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化学计算助手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"做了让学生和老师都废了"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color w:val="d83931"/>
          <w:sz w:val="30"/>
        </w:rPr>
        <w:t>2.2 核心设计原则（源自教师审阅）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不替代思考</w:t>
      </w:r>
      <w:r>
        <w:rPr>
          <w:rFonts w:eastAsia="等线" w:ascii="Arial" w:cs="Arial" w:hAnsi="Arial"/>
          <w:sz w:val="22"/>
        </w:rPr>
        <w:t>：教具是辅助理解的工具，绝不是替代学生练习和教师教学的计算器。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严格对标课纲</w:t>
      </w:r>
      <w:r>
        <w:rPr>
          <w:rFonts w:eastAsia="等线" w:ascii="Arial" w:cs="Arial" w:hAnsi="Arial"/>
          <w:sz w:val="22"/>
        </w:rPr>
        <w:t>：每个功能点必须标注适用学段（初中 / 高中必修 / 高中选修），不超纲也不缺项。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3.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数据权威可靠</w:t>
      </w:r>
      <w:r>
        <w:rPr>
          <w:rFonts w:eastAsia="等线" w:ascii="Arial" w:cs="Arial" w:hAnsi="Arial"/>
          <w:sz w:val="22"/>
        </w:rPr>
        <w:t>：所有物理化学参数必须有权威数据来源（如 NIST、CRC Handbook），并在界面中注明。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4.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有限而精确</w:t>
      </w:r>
      <w:r>
        <w:rPr>
          <w:rFonts w:eastAsia="等线" w:ascii="Arial" w:cs="Arial" w:hAnsi="Arial"/>
          <w:sz w:val="22"/>
        </w:rPr>
        <w:t>：宁做有限数量的精确模型，不做"大而全"的半成品（教师原话："做有限数量的模型，也可以根据真题补充"）。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5.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支持课标更新</w:t>
      </w:r>
      <w:r>
        <w:rPr>
          <w:rFonts w:eastAsia="等线" w:ascii="Arial" w:cs="Arial" w:hAnsi="Arial"/>
          <w:sz w:val="22"/>
        </w:rPr>
        <w:t>：系统架构需支持课程标准变更后的数据更新（教师提到 2019 年后课标对基本单位定义、两性氧化物等的修改）。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d83931"/>
          <w:sz w:val="32"/>
        </w:rPr>
        <w:t>3. 通用技术规范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color w:val="d83931"/>
          <w:sz w:val="30"/>
        </w:rPr>
        <w:t>3.1 输出形态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格式</w:t>
      </w:r>
      <w:r>
        <w:rPr>
          <w:rFonts w:eastAsia="等线" w:ascii="Arial" w:cs="Arial" w:hAnsi="Arial"/>
          <w:sz w:val="22"/>
        </w:rPr>
        <w:t>：单个自包含 HTML 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运行环境</w:t>
      </w:r>
      <w:r>
        <w:rPr>
          <w:rFonts w:eastAsia="等线" w:ascii="Arial" w:cs="Arial" w:hAnsi="Arial"/>
          <w:sz w:val="22"/>
        </w:rPr>
        <w:t>：现代浏览器（Chrome 90+、Firefox 88+、Edge 90+、Safari 14+）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离线可用</w:t>
      </w:r>
      <w:r>
        <w:rPr>
          <w:rFonts w:eastAsia="等线" w:ascii="Arial" w:cs="Arial" w:hAnsi="Arial"/>
          <w:sz w:val="22"/>
        </w:rPr>
        <w:t>：所有资源内联，无需网络连接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响应式</w:t>
      </w:r>
      <w:r>
        <w:rPr>
          <w:rFonts w:eastAsia="等线" w:ascii="Arial" w:cs="Arial" w:hAnsi="Arial"/>
          <w:sz w:val="22"/>
        </w:rPr>
        <w:t>：适配 1024px 及以上屏幕宽度，推荐 1280px+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color w:val="d83931"/>
          <w:sz w:val="30"/>
        </w:rPr>
        <w:t>3.2 视觉规范与主题色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color w:val="d83931"/>
          <w:sz w:val="28"/>
        </w:rPr>
        <w:t>3.2.1 主题色体系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所有模块统一使用以下品牌色：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2070"/>
        <w:gridCol w:w="1185"/>
        <w:gridCol w:w="3315"/>
      </w:tblGrid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CSS 变量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色值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主绿色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--color-primary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#00C06B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主按钮、选中态、重要图标、进度条、链接高亮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深绿色（hover）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--color-primary-dark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#00A85A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按钮悬停态、按钮按下态、活跃导航项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浅绿色（背景）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--color-primary-light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#E8F8F0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卡片背景、信息提示条、选中行高亮、标签背景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极浅绿色（局部背景）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--color-primary-bg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#F0FAF5</w:t>
            </w:r>
          </w:p>
        </w:tc>
        <w:tc>
          <w:tcPr>
            <w:tcW w:w="33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侧边栏背景、次要区域背景（页面主体背景为白色）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color w:val="d83931"/>
          <w:sz w:val="28"/>
        </w:rPr>
        <w:t>3.2.2 辅助色与语义色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860"/>
        <w:gridCol w:w="5250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色值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 / 成功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#00C06B</w:t>
            </w:r>
            <w:r>
              <w:rPr>
                <w:rFonts w:eastAsia="等线" w:ascii="Arial" w:cs="Arial" w:hAnsi="Arial"/>
                <w:sz w:val="22"/>
              </w:rPr>
              <w:t>（复用主色）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配平正确、验证通过、守恒达成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 / 危险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#E53E3E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配平错误、纠错提示、危险操作警告、不守恒高亮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 / 提醒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#F6AD55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条件缺失提示、注意事项、部分正确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 / 中性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#3182CE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知识链接、学段标签、数据来源标注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文字主色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#1A202C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正文标题、一级标题（接近纯黑，白底上阅读舒适）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文字副色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#4A5568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正文内容、段落文字、说明文字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文字辅助色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#A0AEC0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占位符、禁用态文字、脚注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边框 / 分割线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#E2E8F0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卡片边框、表格线、区域分隔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页面背景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#FFFFFF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页面整体底色为纯白，所有内容区域白底黑字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卡片面板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#FFFFFF</w:t>
            </w:r>
          </w:p>
        </w:tc>
        <w:tc>
          <w:tcPr>
            <w:tcW w:w="5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卡片面板、模态框、输入框背景（与底色一致，通过阴影/边框区分层级）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color w:val="d83931"/>
          <w:sz w:val="28"/>
        </w:rPr>
        <w:t>3.2.3 元素周期表专用配色（C-04）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元素分类配色需与主题色协调，避免与主绿色冲突：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3795"/>
        <w:gridCol w:w="2640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色值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示例元素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碱金属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#FF6B6B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Li, Na, K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碱土金属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#FFA07A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Be, Mg, Ca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过渡金属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#FFD93D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Fe, Cu, Zn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主族非金属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#48BB78</w:t>
            </w:r>
            <w:r>
              <w:rPr>
                <w:rFonts w:eastAsia="等线" w:ascii="Arial" w:cs="Arial" w:hAnsi="Arial"/>
                <w:sz w:val="22"/>
              </w:rPr>
              <w:t>（与主色同色系但区分）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C, N, O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卤素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#4D96FF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F, Cl, Br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稀有气体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#9B59B6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He, Ne, Ar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镧系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#FFB6C1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 - Lu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锕系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#DDA0DD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 - Lr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类金属（准金属）</w:t>
            </w:r>
          </w:p>
        </w:tc>
        <w:tc>
          <w:tcPr>
            <w:tcW w:w="3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#87CEEB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B, Si, Ge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color w:val="d83931"/>
          <w:sz w:val="28"/>
        </w:rPr>
        <w:t>3.2.4 通用 UI 组件规范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完整的 CSS 代码见本文档末尾 </w:t>
      </w:r>
      <w:r>
        <w:rPr>
          <w:rFonts w:eastAsia="等线" w:ascii="Arial" w:cs="Arial" w:hAnsi="Arial"/>
          <w:b w:val="true"/>
          <w:color w:val="6425d0"/>
          <w:sz w:val="22"/>
        </w:rPr>
        <w:t>附录：CSS 样式参考代码</w:t>
      </w:r>
      <w:r>
        <w:rPr>
          <w:rFonts w:eastAsia="等线" w:ascii="Arial" w:cs="Arial" w:hAnsi="Arial"/>
          <w:sz w:val="22"/>
        </w:rPr>
        <w:t>，以下仅列出设计规范。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按钮样式：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45"/>
        <w:gridCol w:w="1845"/>
        <w:gridCol w:w="2295"/>
        <w:gridCol w:w="2295"/>
      </w:tblGrid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背景色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文字色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边框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主按钮（默认）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#00C06B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#FFFFFF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主按钮（hover）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#00A85A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#FFFFFF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主按钮（disabled）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#A0AEC0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#FFFFFF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次按钮（默认）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#FFFFFF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#00C06B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1px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#00C06B</w:t>
            </w:r>
          </w:p>
        </w:tc>
      </w:tr>
      <w:tr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危险按钮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#E53E3E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#FFFFFF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学段标签配色：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#E8F8F0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#00A85A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#EBF8FF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#2B6CB0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#FAF5FF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#6B46C1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[拓展]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#FFFAF0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#C05621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提示卡片配色：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左边框色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 / 正确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#E8F8F0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#00C06B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 / 纠错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#FFF5F5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#E53E3E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 / 注意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#FFFAF0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#F6AD55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 / 提示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#EBF8FF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#3182CE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其他组件规范：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页面底色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d83931"/>
          <w:sz w:val="22"/>
        </w:rPr>
        <w:t>`#FFFFFF`</w:t>
      </w:r>
      <w:r>
        <w:rPr>
          <w:rFonts w:eastAsia="等线" w:ascii="Arial" w:cs="Arial" w:hAnsi="Arial"/>
          <w:sz w:val="22"/>
        </w:rPr>
        <w:t xml:space="preserve"> 纯白（所有页面统一白色底色）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卡片面板</w:t>
      </w:r>
      <w:r>
        <w:rPr>
          <w:rFonts w:eastAsia="等线" w:ascii="Arial" w:cs="Arial" w:hAnsi="Arial"/>
          <w:sz w:val="22"/>
        </w:rPr>
        <w:t xml:space="preserve">：白色背景 + </w:t>
      </w:r>
      <w:r>
        <w:rPr>
          <w:rFonts w:eastAsia="等线" w:ascii="Arial" w:cs="Arial" w:hAnsi="Arial"/>
          <w:color w:val="d83931"/>
          <w:sz w:val="22"/>
        </w:rPr>
        <w:t>`#E2E8F0`</w:t>
      </w:r>
      <w:r>
        <w:rPr>
          <w:rFonts w:eastAsia="等线" w:ascii="Arial" w:cs="Arial" w:hAnsi="Arial"/>
          <w:sz w:val="22"/>
        </w:rPr>
        <w:t xml:space="preserve"> 边框 + 8px 圆角（通过边框/阴影与底色区分层级）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高亮卡片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d83931"/>
          <w:sz w:val="22"/>
        </w:rPr>
        <w:t>`#E8F8F0`</w:t>
      </w:r>
      <w:r>
        <w:rPr>
          <w:rFonts w:eastAsia="等线" w:ascii="Arial" w:cs="Arial" w:hAnsi="Arial"/>
          <w:sz w:val="22"/>
        </w:rPr>
        <w:t xml:space="preserve"> 背景 + 3px </w:t>
      </w:r>
      <w:r>
        <w:rPr>
          <w:rFonts w:eastAsia="等线" w:ascii="Arial" w:cs="Arial" w:hAnsi="Arial"/>
          <w:color w:val="d83931"/>
          <w:sz w:val="22"/>
        </w:rPr>
        <w:t>`#00C06B`</w:t>
      </w:r>
      <w:r>
        <w:rPr>
          <w:rFonts w:eastAsia="等线" w:ascii="Arial" w:cs="Arial" w:hAnsi="Arial"/>
          <w:sz w:val="22"/>
        </w:rPr>
        <w:t xml:space="preserve"> 左边框（仅需强调时使用浅绿底）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输入框 focus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d83931"/>
          <w:sz w:val="22"/>
        </w:rPr>
        <w:t>`#00C06B`</w:t>
      </w:r>
      <w:r>
        <w:rPr>
          <w:rFonts w:eastAsia="等线" w:ascii="Arial" w:cs="Arial" w:hAnsi="Arial"/>
          <w:sz w:val="22"/>
        </w:rPr>
        <w:t xml:space="preserve"> 边框 + 浅绿光晕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表格表头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d83931"/>
          <w:sz w:val="22"/>
        </w:rPr>
        <w:t>`#E8F8F0`</w:t>
      </w:r>
      <w:r>
        <w:rPr>
          <w:rFonts w:eastAsia="等线" w:ascii="Arial" w:cs="Arial" w:hAnsi="Arial"/>
          <w:sz w:val="22"/>
        </w:rPr>
        <w:t xml:space="preserve"> 背景 + </w:t>
      </w:r>
      <w:r>
        <w:rPr>
          <w:rFonts w:eastAsia="等线" w:ascii="Arial" w:cs="Arial" w:hAnsi="Arial"/>
          <w:color w:val="d83931"/>
          <w:sz w:val="22"/>
        </w:rPr>
        <w:t>`#00A85A`</w:t>
      </w:r>
      <w:r>
        <w:rPr>
          <w:rFonts w:eastAsia="等线" w:ascii="Arial" w:cs="Arial" w:hAnsi="Arial"/>
          <w:sz w:val="22"/>
        </w:rPr>
        <w:t xml:space="preserve"> 文字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表格行 hover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d83931"/>
          <w:sz w:val="22"/>
        </w:rPr>
        <w:t>`#F0FAF5`</w:t>
      </w:r>
      <w:r>
        <w:rPr>
          <w:rFonts w:eastAsia="等线" w:ascii="Arial" w:cs="Arial" w:hAnsi="Arial"/>
          <w:sz w:val="22"/>
        </w:rPr>
        <w:t xml:space="preserve"> 背景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正文区域</w:t>
      </w:r>
      <w:r>
        <w:rPr>
          <w:rFonts w:eastAsia="等线" w:ascii="Arial" w:cs="Arial" w:hAnsi="Arial"/>
          <w:sz w:val="22"/>
        </w:rPr>
        <w:t xml:space="preserve">：白底 + </w:t>
      </w:r>
      <w:r>
        <w:rPr>
          <w:rFonts w:eastAsia="等线" w:ascii="Arial" w:cs="Arial" w:hAnsi="Arial"/>
          <w:color w:val="d83931"/>
          <w:sz w:val="22"/>
        </w:rPr>
        <w:t>`#1A202C`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等线" w:ascii="Arial" w:cs="Arial" w:hAnsi="Arial"/>
          <w:color w:val="d83931"/>
          <w:sz w:val="22"/>
        </w:rPr>
        <w:t>`#4A5568`</w:t>
      </w:r>
      <w:r>
        <w:rPr>
          <w:rFonts w:eastAsia="等线" w:ascii="Arial" w:cs="Arial" w:hAnsi="Arial"/>
          <w:sz w:val="22"/>
        </w:rPr>
        <w:t xml:space="preserve"> 黑灰色文字，绿色仅用于可交互元素（按钮、链接、选中态）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侧边栏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color w:val="d83931"/>
          <w:sz w:val="22"/>
        </w:rPr>
        <w:t>`#F0FAF5`</w:t>
      </w:r>
      <w:r>
        <w:rPr>
          <w:rFonts w:eastAsia="等线" w:ascii="Arial" w:cs="Arial" w:hAnsi="Arial"/>
          <w:sz w:val="22"/>
        </w:rPr>
        <w:t xml:space="preserve"> 浅底色，激活项使用 </w:t>
      </w:r>
      <w:r>
        <w:rPr>
          <w:rFonts w:eastAsia="等线" w:ascii="Arial" w:cs="Arial" w:hAnsi="Arial"/>
          <w:color w:val="d83931"/>
          <w:sz w:val="22"/>
        </w:rPr>
        <w:t>`#00C06B`</w:t>
      </w:r>
      <w:r>
        <w:rPr>
          <w:rFonts w:eastAsia="等线" w:ascii="Arial" w:cs="Arial" w:hAnsi="Arial"/>
          <w:sz w:val="22"/>
        </w:rPr>
        <w:t xml:space="preserve"> 背景 + 白色文字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color w:val="d83931"/>
          <w:sz w:val="30"/>
        </w:rPr>
        <w:t>3.3 3D 渲染技术栈（适用于 C-02、C-05）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推荐使用 Three.js（内联打包）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支持 WebGL 2.0 渲染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交互：鼠标拖拽旋转、滚轮缩放、双击重置视角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移动端：触摸手势支持（双指缩放、单指旋转）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color w:val="d83931"/>
          <w:sz w:val="30"/>
        </w:rPr>
        <w:t>3.4 动画规范（适用于 C-06、C-07、C-08）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使用 CSS Animation 或 requestAnimationFrame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动画帧率目标：≥30fps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所有动画支持：播放、暂停、逐步前进、速度调节（0.5x / 1x / 2x）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关键帧需有文字标注说明当前发生的化学过程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color w:val="d83931"/>
          <w:sz w:val="30"/>
        </w:rPr>
        <w:t>3.5 数据标注规范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所有数值数据需注明单位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所有参数数据需注明数据来源（如 "数据来源：NIST Chemistry WebBook"）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温度默认使用摄氏度（℃），并标注开尔文（K）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压强默认使用标准大气压（atm），并标注帕斯卡（Pa）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color w:val="d83931"/>
          <w:sz w:val="30"/>
        </w:rPr>
        <w:t>3.6 学段标注体系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每个功能点、每条知识内容都必须标注适用学段，使用如下标签：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初中化学课纲内容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高中化学必修课程内容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高中化学选修课程内容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[拓展]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超出高中课纲，作为拓展阅读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color w:val="d83931"/>
          <w:sz w:val="32"/>
        </w:rPr>
        <w:t>4. C-03 化学方程式配平器与纠错系统</w:t>
      </w:r>
      <w:bookmarkEnd w:id="19"/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教师评价：</w:t>
      </w:r>
      <w:r>
        <w:rPr>
          <w:rFonts w:eastAsia="等线" w:ascii="Arial" w:cs="Arial" w:hAnsi="Arial"/>
          <w:sz w:val="22"/>
        </w:rPr>
        <w:t xml:space="preserve"> "可行性高，易实现且简单，希望能加上方程式纠错（不能实现的反应与物质选取错误的报告功能）"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优先级：</w:t>
      </w:r>
      <w:r>
        <w:rPr>
          <w:rFonts w:eastAsia="等线" w:ascii="Arial" w:cs="Arial" w:hAnsi="Arial"/>
          <w:sz w:val="22"/>
        </w:rPr>
        <w:t xml:space="preserve"> P0（MVP 首批）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数据参考：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83931"/>
          <w:sz w:val="22"/>
        </w:rPr>
        <w:t>`data/C03_方程式题库数据.md`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color w:val="d83931"/>
          <w:sz w:val="30"/>
        </w:rPr>
        <w:t>4.1 功能概述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为学生提供化学方程式配平的逐步教学演示，并具备方程式纠错能力（判断反应是否真实可行、物质是否选取正确）。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color w:val="d83931"/>
          <w:sz w:val="30"/>
        </w:rPr>
        <w:t>4.2 功能模块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color w:val="d83931"/>
          <w:sz w:val="28"/>
        </w:rPr>
        <w:t>4.2.1 方程式输入与纠错 [教师意见-采纳]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需求描述：</w:t>
      </w:r>
      <w:r>
        <w:rPr>
          <w:rFonts w:eastAsia="等线" w:ascii="Arial" w:cs="Arial" w:hAnsi="Arial"/>
          <w:sz w:val="22"/>
        </w:rPr>
        <w:t xml:space="preserve"> 用户输入化学方程式后，系统首先验证方程式的合理性，再进入配平流程。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功能点：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输入界面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提供化学式输入框，支持上下标自动格式化（如输入 </w:t>
      </w:r>
      <w:r>
        <w:rPr>
          <w:rFonts w:eastAsia="等线" w:ascii="Arial" w:cs="Arial" w:hAnsi="Arial"/>
          <w:color w:val="d83931"/>
          <w:sz w:val="22"/>
        </w:rPr>
        <w:t>`H2O`</w:t>
      </w:r>
      <w:r>
        <w:rPr>
          <w:rFonts w:eastAsia="等线" w:ascii="Arial" w:cs="Arial" w:hAnsi="Arial"/>
          <w:sz w:val="22"/>
        </w:rPr>
        <w:t xml:space="preserve"> 自动显示为 H₂O）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支持常见化学符号输入：→、↑、↓、△（加热）、点燃、催化剂等条件标注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支持离子方程式输入（含电荷标注，如 SO₄²⁻）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方程式纠错系统</w:t>
      </w:r>
      <w:r>
        <w:rPr>
          <w:rFonts w:eastAsia="等线" w:ascii="Arial" w:cs="Arial" w:hAnsi="Arial"/>
          <w:sz w:val="22"/>
        </w:rPr>
        <w:t xml:space="preserve"> [</w:t>
      </w:r>
      <w:r>
        <w:rPr>
          <w:rFonts w:eastAsia="等线" w:ascii="Arial" w:cs="Arial" w:hAnsi="Arial"/>
          <w:color w:val="d83931"/>
          <w:sz w:val="22"/>
        </w:rPr>
        <w:t>教师意见-采纳：新增功能</w:t>
      </w:r>
      <w:r>
        <w:rPr>
          <w:rFonts w:eastAsia="等线" w:ascii="Arial" w:cs="Arial" w:hAnsi="Arial"/>
          <w:sz w:val="22"/>
        </w:rPr>
        <w:t>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反应可行性验证</w:t>
      </w:r>
      <w:r>
        <w:rPr>
          <w:rFonts w:eastAsia="等线" w:ascii="Arial" w:cs="Arial" w:hAnsi="Arial"/>
          <w:sz w:val="22"/>
        </w:rPr>
        <w:t>：判断输入的反应是否在化学上可实现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不能实现的反应：给出明确提示，说明原因（如 "Cu 与稀 HCl 不反应，因为 Cu 在金属活动性顺序表中排在 H 之后"）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条件缺失的反应：提示需要补充反应条件（如 "Fe₂O₃ + CO 需标注高温条件"）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物质选取错误报告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化学式书写错误（如 Cuo → 应为 CuO）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物质状态标注错误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产物判断错误（如酸碱中和反应的盐写错）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纠错结果以醒目的提示卡片形式展示，包含正确写法和错误原因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color w:val="d83931"/>
          <w:sz w:val="28"/>
        </w:rPr>
        <w:t>4.2.2 配平演示模块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需求描述：</w:t>
      </w:r>
      <w:r>
        <w:rPr>
          <w:rFonts w:eastAsia="等线" w:ascii="Arial" w:cs="Arial" w:hAnsi="Arial"/>
          <w:sz w:val="22"/>
        </w:rPr>
        <w:t xml:space="preserve"> 通过动画逐步展示配平过程，而非直接给出答案。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配平方法（按学段区分）：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90"/>
        <w:gridCol w:w="1425"/>
        <w:gridCol w:w="4365"/>
      </w:tblGrid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观察法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直接观察各元素原子数，逐个调整系数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最小公倍数法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找出某元素在两边的原子数，取最小公倍数确定系数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奇数倍增法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当某元素原子数一奇一偶时，将奇数倍增为偶数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待定系数法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设各物质系数为未知数，列方程组求解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氧化还原配平（化合价升降法）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标出变价元素 → 计算电子转移数 → 用最小公倍数确定系数 → 平衡其余原子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离子方程式配平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拆分强电解质 → 删去两边相同离子 → 检查原子守恒、电荷守恒</w:t>
            </w:r>
          </w:p>
        </w:tc>
      </w:tr>
      <w:tr>
        <w:tc>
          <w:tcPr>
            <w:tcW w:w="24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缺项配平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在给定部分物质的方程式中，根据守恒推导缺失的物质（水、H⁺、OH⁻等简单粒子）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配平方法分类需严格按照上述课纲要求。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演示动画流程（以氧化还原配平为例）：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步骤1：显示未配平方程式，高亮变价元素</w:t>
              <w:br/>
              <w:t>步骤2：在元素上方标注化合价变化（如 Fe: 0→+3）</w:t>
              <w:br/>
              <w:t>步骤3：用箭头标注电子转移方向和数目</w:t>
              <w:br/>
              <w:t>步骤4：取电子得失数的最小公倍数</w:t>
              <w:br/>
              <w:t>步骤5：确定变价物质的系数</w:t>
              <w:br/>
              <w:t>步骤6：依次平衡其余元素（先金属，后非金属，最后H和O）</w:t>
              <w:br/>
            </w:r>
            <w:r>
              <w:rPr>
                <w:rFonts w:eastAsia="Consolas" w:ascii="Consolas" w:cs="Consolas" w:hAnsi="Consolas"/>
                <w:sz w:val="22"/>
              </w:rPr>
              <w:t>步骤7：最终检查：两边各元素原子数一一对应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每一步之间需有"下一步"按钮，用户可自行控制节奏。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color w:val="d83931"/>
          <w:sz w:val="28"/>
        </w:rPr>
        <w:t>4.2.3 守恒验证模块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功能点：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原子守恒验证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自动统计方程式两边每种元素的原子总数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以表格形式展示对比，未平衡的元素红色高亮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电荷守恒验证</w:t>
      </w:r>
      <w:r>
        <w:rPr>
          <w:rFonts w:eastAsia="等线" w:ascii="Arial" w:cs="Arial" w:hAnsi="Arial"/>
          <w:sz w:val="22"/>
        </w:rPr>
        <w:t>（适用于离子方程式）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统计两边总电荷数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不守恒时高亮显示差异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3.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电子守恒验证</w:t>
      </w:r>
      <w:r>
        <w:rPr>
          <w:rFonts w:eastAsia="等线" w:ascii="Arial" w:cs="Arial" w:hAnsi="Arial"/>
          <w:sz w:val="22"/>
        </w:rPr>
        <w:t>（适用于氧化还原反应）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标注氧化剂得到的电子总数 vs 还原剂失去的电子总数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可视化展示电子转移过程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color w:val="d83931"/>
          <w:sz w:val="28"/>
        </w:rPr>
        <w:t>4.2.4 离子方程式书写引导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教师指出：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不是所有强电解质都要拆分（如不溶性强电解质 BaSO₄ 不拆）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存在可溶性弱电解质盐（如升汞 HgCl₂、醋酸铅 Pb(CH₃COO)₂、异硫氰酸铁 Fe(SCN)₃）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系统应基于溶解性和电离程度的原理判断拆分规则，而非仅靠经验列表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实现要求：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1.</w:t>
      </w:r>
      <w:r>
        <w:rPr>
          <w:rFonts w:eastAsia="等线" w:ascii="Arial" w:cs="Arial" w:hAnsi="Arial"/>
          <w:sz w:val="22"/>
        </w:rPr>
        <w:t xml:space="preserve"> 分步引导界面：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第一步：识别反应物和产物的溶解性与电离类型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第二步：判断哪些物质需要拆分为离子形式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第三步：拆分并删去两边相同离子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第四步：检查守恒（原子守恒 + 电荷守恒）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</w:t>
      </w:r>
      <w:r>
        <w:rPr>
          <w:rFonts w:eastAsia="等线" w:ascii="Arial" w:cs="Arial" w:hAnsi="Arial"/>
          <w:sz w:val="22"/>
        </w:rPr>
        <w:t xml:space="preserve"> 拆分规则引擎：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易溶强电解质 → 拆分为离子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难溶物（含微溶物）→ 保留化学式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气体 → 保留化学式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弱电解质（包括可溶性弱电解质）→ 保留化学式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单质 → 保留化学式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氧化物 → 保留化学式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3.</w:t>
      </w:r>
      <w:r>
        <w:rPr>
          <w:rFonts w:eastAsia="等线" w:ascii="Arial" w:cs="Arial" w:hAnsi="Arial"/>
          <w:sz w:val="22"/>
        </w:rPr>
        <w:t xml:space="preserve"> 当用户做出错误拆分时，系统需给出纠正提示并解释原因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color w:val="d83931"/>
          <w:sz w:val="28"/>
        </w:rPr>
        <w:t>4.2.5 练习题模块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教师意见-部分采纳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教师指出"组题功能不需要内嵌于这一模块"。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调整方案：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本模块仅提供"练习模式"入口，从内置题库中随机抽取方程式供学生练习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不做完整的"出卷"或"布置作业"功能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题库数据见 </w:t>
      </w:r>
      <w:r>
        <w:rPr>
          <w:rFonts w:eastAsia="等线" w:ascii="Arial" w:cs="Arial" w:hAnsi="Arial"/>
          <w:color w:val="d83931"/>
          <w:sz w:val="22"/>
        </w:rPr>
        <w:t>`data/C03_方程式题库数据.md`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练习模式：显示未配平方程式 → 学生填写系数 → 系统判定并给出分步解析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color w:val="d83931"/>
          <w:sz w:val="30"/>
        </w:rPr>
        <w:t>4.3 交互设计要点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化学式输入支持 LaTeX 风格快捷输入（如 </w:t>
      </w:r>
      <w:r>
        <w:rPr>
          <w:rFonts w:eastAsia="等线" w:ascii="Arial" w:cs="Arial" w:hAnsi="Arial"/>
          <w:color w:val="d83931"/>
          <w:sz w:val="22"/>
        </w:rPr>
        <w:t>`H_2O`</w:t>
      </w:r>
      <w:r>
        <w:rPr>
          <w:rFonts w:eastAsia="等线" w:ascii="Arial" w:cs="Arial" w:hAnsi="Arial"/>
          <w:sz w:val="22"/>
        </w:rPr>
        <w:t xml:space="preserve"> → H₂O, </w:t>
      </w:r>
      <w:r>
        <w:rPr>
          <w:rFonts w:eastAsia="等线" w:ascii="Arial" w:cs="Arial" w:hAnsi="Arial"/>
          <w:color w:val="d83931"/>
          <w:sz w:val="22"/>
        </w:rPr>
        <w:t>`SO_4^{2-}`</w:t>
      </w:r>
      <w:r>
        <w:rPr>
          <w:rFonts w:eastAsia="等线" w:ascii="Arial" w:cs="Arial" w:hAnsi="Arial"/>
          <w:sz w:val="22"/>
        </w:rPr>
        <w:t xml:space="preserve"> → SO₄²⁻）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配平过程的每一步均可回退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配平动画可选择不同配平方法重新演示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纠错信息用红色卡片呈现，正确信息用绿色卡片呈现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color w:val="d83931"/>
          <w:sz w:val="32"/>
        </w:rPr>
        <w:t>5. C-04 元素周期表交互平台</w:t>
      </w:r>
      <w:bookmarkEnd w:id="28"/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教师评价：</w:t>
      </w:r>
      <w:r>
        <w:rPr>
          <w:rFonts w:eastAsia="等线" w:ascii="Arial" w:cs="Arial" w:hAnsi="Arial"/>
          <w:sz w:val="22"/>
        </w:rPr>
        <w:t xml:space="preserve"> 认可需要，但提出大量修改意见，尤其关注数据权威性、课标更新兼容性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优先级：</w:t>
      </w:r>
      <w:r>
        <w:rPr>
          <w:rFonts w:eastAsia="等线" w:ascii="Arial" w:cs="Arial" w:hAnsi="Arial"/>
          <w:sz w:val="22"/>
        </w:rPr>
        <w:t xml:space="preserve"> P0（MVP 首批）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数据参考：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83931"/>
          <w:sz w:val="22"/>
        </w:rPr>
        <w:t>`data/C04_元素周期表_元素数据.md`</w:t>
      </w:r>
      <w:r>
        <w:rPr>
          <w:rFonts w:eastAsia="等线" w:ascii="Arial" w:cs="Arial" w:hAnsi="Arial"/>
          <w:sz w:val="22"/>
        </w:rPr>
        <w:t>（含 118 个元素的完整介绍）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color w:val="d83931"/>
          <w:sz w:val="30"/>
        </w:rPr>
        <w:t>5.1 功能概述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提供可交互的完整元素周期表，支持元素详情查看、属性可视化对比、电子排布动画等功能。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color w:val="d83931"/>
          <w:sz w:val="30"/>
        </w:rPr>
        <w:t>5.2 功能模块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color w:val="d83931"/>
          <w:sz w:val="28"/>
        </w:rPr>
        <w:t>5.2.1 交互式元素周期表主界面</w:t>
      </w:r>
      <w:bookmarkEnd w:id="3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布局要求：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标准 18 列长式周期表布局，包含镧系和锕系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每个元素格显示：原子序数、元素符号、元素名称、相对原子质量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元素格底色按元素分类着色（碱金属、碱土金属、过渡金属、非金属、稀有气体等）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鼠标悬停（hover）时显示简要信息浮窗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分类配色方案：</w:t>
      </w:r>
      <w:r>
        <w:rPr>
          <w:rFonts w:eastAsia="等线" w:ascii="Arial" w:cs="Arial" w:hAnsi="Arial"/>
          <w:sz w:val="22"/>
        </w:rPr>
        <w:t xml:space="preserve"> 见 §3.2.3 元素周期表专用配色。页面整体使用 </w:t>
      </w:r>
      <w:r>
        <w:rPr>
          <w:rFonts w:eastAsia="等线" w:ascii="Arial" w:cs="Arial" w:hAnsi="Arial"/>
          <w:color w:val="d83931"/>
          <w:sz w:val="22"/>
        </w:rPr>
        <w:t>`--color-primary-bg`</w:t>
      </w: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color w:val="d83931"/>
          <w:sz w:val="22"/>
        </w:rPr>
        <w:t>`#F0FAF5`</w:t>
      </w:r>
      <w:r>
        <w:rPr>
          <w:rFonts w:eastAsia="等线" w:ascii="Arial" w:cs="Arial" w:hAnsi="Arial"/>
          <w:sz w:val="22"/>
        </w:rPr>
        <w:t xml:space="preserve">）作为背景，元素格默认边框使用 </w:t>
      </w:r>
      <w:r>
        <w:rPr>
          <w:rFonts w:eastAsia="等线" w:ascii="Arial" w:cs="Arial" w:hAnsi="Arial"/>
          <w:color w:val="d83931"/>
          <w:sz w:val="22"/>
        </w:rPr>
        <w:t>`--color-border`</w:t>
      </w: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color w:val="d83931"/>
          <w:sz w:val="22"/>
        </w:rPr>
        <w:t>`#E2E8F0`</w:t>
      </w:r>
      <w:r>
        <w:rPr>
          <w:rFonts w:eastAsia="等线" w:ascii="Arial" w:cs="Arial" w:hAnsi="Arial"/>
          <w:sz w:val="22"/>
        </w:rPr>
        <w:t xml:space="preserve">），选中元素高亮使用 </w:t>
      </w:r>
      <w:r>
        <w:rPr>
          <w:rFonts w:eastAsia="等线" w:ascii="Arial" w:cs="Arial" w:hAnsi="Arial"/>
          <w:color w:val="d83931"/>
          <w:sz w:val="22"/>
        </w:rPr>
        <w:t>`--color-primary`</w:t>
      </w: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color w:val="d83931"/>
          <w:sz w:val="22"/>
        </w:rPr>
        <w:t>`#00C06B`</w:t>
      </w:r>
      <w:r>
        <w:rPr>
          <w:rFonts w:eastAsia="等线" w:ascii="Arial" w:cs="Arial" w:hAnsi="Arial"/>
          <w:sz w:val="22"/>
        </w:rPr>
        <w:t>）描边。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color w:val="d83931"/>
          <w:sz w:val="28"/>
        </w:rPr>
        <w:t>5.2.2 元素详情页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教师问"功能做到怎样可称为详情？数据来源需要确保权威性"。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每个元素的详情页需包含以下板块：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板块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基本信息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元素名称（中英文）、符号、原子序数、相对原子质量、所属周期和族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IUPAC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物理性质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熔点、沸点、密度、状态（常温下）、颜色与外观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CRC Handbook / NIST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原子结构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电子排布式（含初中简写与高中选修轨道表示）、原子半径、常见化合价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NIST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化学性质概述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主要化学反应特征、与常见物质的反应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教材及权威教辅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发现历史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发现年份、发现者、命名由来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化学史文献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主要应用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工业、生活、科技领域的典型应用（2-3 条）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科普文献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趣味事实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 条经过筛选的有趣知识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需审核确保准确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教学关联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标注该元素在初中/高中必修/高中选修中的考查要点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课程标准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"趣味事实"需要有明确的筛选标准：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必须是经过科学验证的事实，不得使用未经证实的传闻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需与中学生的认知水平相适应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内容应能激发学习兴趣，同时不产生误导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数据来源标注要求：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页面底部需固定显示数据来源声明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格式示例："原子质量数据来源：IUPAC 2021 标准原子量；物理性质数据来源：CRC Handbook of Chemistry and Physics, 104th Edition"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color w:val="d83931"/>
          <w:sz w:val="28"/>
        </w:rPr>
        <w:t>5.2.3 属性可视化对比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教师意见-部分采纳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教师对热力图实现方式存疑，但认可对比功能的需要。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方案调整：</w:t>
      </w:r>
      <w:r>
        <w:rPr>
          <w:rFonts w:eastAsia="等线" w:ascii="Arial" w:cs="Arial" w:hAnsi="Arial"/>
          <w:sz w:val="22"/>
        </w:rPr>
        <w:t xml:space="preserve"> 将"热力图叠加"改为更直观的"属性染色模式 + 折线图对比"。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属性染色模式（替代原热力图）：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用户从下拉菜单选择一个属性（如"电负性"）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周期表中所有元素格按该属性值的相对大小渐变着色（低值浅色 → 高值深色）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支持的属性列表：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原子半径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第一电离能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kJ/mol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电负性（鲍林标度）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无量纲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相对原子质量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g/cm³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沸点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℃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"此类性质高中不要求背诵记忆，仅要求了解相关规律" — 属性染色模式的目的是帮助理解规律趋势，而非要求记忆具体数值，界面上需标注"本功能用于辅助理解周期律，非记忆要求"。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折线图对比：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教师问"需要对比哪些性质，具体操作上怎样选择对比对象"。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用户可勾选同一周期或同一族的元素（也可自由勾选任意元素，最多 10 个）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选择一项属性，生成折线图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X 轴：选中元素（按原子序数排列）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Y 轴：属性值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折线图上每个数据点可悬停查看精确数值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教师意见-存疑待议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"无规律、反模糊规律的元素间是否能纳入对比？" — 建议：允许自由选择任意元素组合对比，对于显示出"反常"数据的点（如第二周期的反常），在数据点旁添加注释气泡说明原因。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color w:val="d83931"/>
          <w:sz w:val="28"/>
        </w:rPr>
        <w:t>5.2.4 电子排布动画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教师指出初中、高中必修、高中选修的电子排布知识不同。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分层设计：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2505"/>
        <w:gridCol w:w="2250"/>
        <w:gridCol w:w="2250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排布方式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元素范围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核外电子层排布（2-8-8 规则）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Na: 2-8-1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 20 号元素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电子层+亚层排布式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Na: 1s²2s²2p⁶3s¹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 36 号元素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轨道表示式（箭头填充）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含电子自旋方向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 36 号元素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是仅按照课纲开发前 36 号元素还是后续也做？"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MVP 阶段</w:t>
      </w:r>
      <w:r>
        <w:rPr>
          <w:rFonts w:eastAsia="等线" w:ascii="Arial" w:cs="Arial" w:hAnsi="Arial"/>
          <w:sz w:val="22"/>
        </w:rPr>
        <w:t>：仅开发前 36 号元素（H 到 Kr）的动画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后续版本可扩展至全部元素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动画要求：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点击元素后，进入电子排布动画界面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用户可选择学段（初中模式 / 高中必修模式 / 高中选修模式）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动画逐层/逐轨道填充电子，配合文字说明填充规则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初中模式：圆形电子层模型，电子以小球形式依次出现在各层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高中选修模式：需体现构造原理（能量最低原理、泡利不相容、洪特规则）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color w:val="d83931"/>
          <w:sz w:val="28"/>
        </w:rPr>
        <w:t>5.2.5 金属活动性顺序表</w:t>
      </w:r>
      <w:bookmarkEnd w:id="3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"不建议做非金属性顺序，几乎无法实现。金属活动性顺序只保留初中要求背诵的即可。"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调整：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保留</w:t>
      </w:r>
      <w:r>
        <w:rPr>
          <w:rFonts w:eastAsia="等线" w:ascii="Arial" w:cs="Arial" w:hAnsi="Arial"/>
          <w:sz w:val="22"/>
        </w:rPr>
        <w:t>：金属活动性顺序表（K Ca Na Mg Al Zn Fe Sn Pb (H) Cu Hg Ag Pt Au）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删除</w:t>
      </w:r>
      <w:r>
        <w:rPr>
          <w:rFonts w:eastAsia="等线" w:ascii="Arial" w:cs="Arial" w:hAnsi="Arial"/>
          <w:sz w:val="22"/>
        </w:rPr>
        <w:t>：非金属性顺序联动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金属活动性顺序以独立横条形式展示在周期表下方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点击顺序表中的金属，高亮其在周期表中的位置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标注 </w:t>
      </w:r>
      <w:r>
        <w:rPr>
          <w:rFonts w:eastAsia="等线" w:ascii="Arial" w:cs="Arial" w:hAnsi="Arial"/>
          <w:color w:val="d83931"/>
          <w:sz w:val="22"/>
        </w:rPr>
        <w:t>`[初中]`</w:t>
      </w:r>
      <w:r>
        <w:rPr>
          <w:rFonts w:eastAsia="等线" w:ascii="Arial" w:cs="Arial" w:hAnsi="Arial"/>
          <w:sz w:val="22"/>
        </w:rPr>
        <w:t xml:space="preserve"> — 需背诵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color w:val="d83931"/>
          <w:sz w:val="28"/>
        </w:rPr>
        <w:t>5.2.6 元素故事卡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>"可以做，但不是很好做，属于大工程。需要能够厘定'趣味事实'的标准。"（其实在Vibe Coding时代是好做的）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实现方案：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每个元素配备一张"故事卡"，以卡片翻转动画展示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正面：元素基本信息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背面：发现历史（1-2 句）+ 日常应用（1-2 条）+ 趣味事实（1 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趣味事实筛选标准：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45bdb"/>
          <w:sz w:val="22"/>
        </w:rPr>
        <w:t>1.</w:t>
      </w:r>
      <w:r>
        <w:rPr>
          <w:rFonts w:eastAsia="等线" w:ascii="Arial" w:cs="Arial" w:hAnsi="Arial"/>
          <w:sz w:val="22"/>
        </w:rPr>
        <w:t xml:space="preserve"> 必须有可靠来源（学术论文、权威科普书籍）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45bdb"/>
          <w:sz w:val="22"/>
        </w:rPr>
        <w:t>2.</w:t>
      </w:r>
      <w:r>
        <w:rPr>
          <w:rFonts w:eastAsia="等线" w:ascii="Arial" w:cs="Arial" w:hAnsi="Arial"/>
          <w:sz w:val="22"/>
        </w:rPr>
        <w:t xml:space="preserve"> 不得涉及危险操作的详细描述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45bdb"/>
          <w:sz w:val="22"/>
        </w:rPr>
        <w:t>3.</w:t>
      </w:r>
      <w:r>
        <w:rPr>
          <w:rFonts w:eastAsia="等线" w:ascii="Arial" w:cs="Arial" w:hAnsi="Arial"/>
          <w:sz w:val="22"/>
        </w:rPr>
        <w:t xml:space="preserve"> 内容需适合中学生阅读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45bdb"/>
          <w:sz w:val="22"/>
        </w:rPr>
        <w:t>4.</w:t>
      </w:r>
      <w:r>
        <w:rPr>
          <w:rFonts w:eastAsia="等线" w:ascii="Arial" w:cs="Arial" w:hAnsi="Arial"/>
          <w:sz w:val="22"/>
        </w:rPr>
        <w:t xml:space="preserve"> 优先选择与日常生活相关的事实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 xml:space="preserve">完整的 118 个元素故事卡文本见 </w:t>
      </w:r>
      <w:r>
        <w:rPr>
          <w:rFonts w:eastAsia="等线" w:ascii="Arial" w:cs="Arial" w:hAnsi="Arial"/>
          <w:b w:val="true"/>
          <w:color w:val="d83931"/>
          <w:sz w:val="22"/>
        </w:rPr>
        <w:t>`data/C04_元素周期表_元素数据.md`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color w:val="d83931"/>
          <w:sz w:val="30"/>
        </w:rPr>
        <w:t>5.3 课标更新兼容性</w:t>
      </w:r>
      <w:bookmarkEnd w:id="3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教师提出课程标准可能变化（如 2019 年课标修改了物质的量等基本单位定义，以及部分氧化物分类的调整）。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技术要求：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所有展示内容（元素数据、分类标签、教学关联标注）均从独立的 JSON 数据文件读取，不硬编码在 HTML 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数据文件结构需包含 </w:t>
      </w:r>
      <w:r>
        <w:rPr>
          <w:rFonts w:eastAsia="等线" w:ascii="Arial" w:cs="Arial" w:hAnsi="Arial"/>
          <w:color w:val="d83931"/>
          <w:sz w:val="22"/>
        </w:rPr>
        <w:t>`version`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color w:val="d83931"/>
          <w:sz w:val="22"/>
        </w:rPr>
        <w:t>`lastUpdated`</w:t>
      </w:r>
      <w:r>
        <w:rPr>
          <w:rFonts w:eastAsia="等线" w:ascii="Arial" w:cs="Arial" w:hAnsi="Arial"/>
          <w:sz w:val="22"/>
        </w:rPr>
        <w:t xml:space="preserve"> 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界面底部需显示"数据版本"信息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设计数据更新入口（可通过替换 JSON 文件实现更新）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color w:val="d83931"/>
          <w:sz w:val="32"/>
        </w:rPr>
        <w:t>6. C-02 分子结构查看器</w:t>
      </w:r>
      <w:bookmarkEnd w:id="38"/>
    </w:p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教师评价：</w:t>
      </w:r>
      <w:r>
        <w:rPr>
          <w:rFonts w:eastAsia="等线" w:ascii="Arial" w:cs="Arial" w:hAnsi="Arial"/>
          <w:sz w:val="22"/>
        </w:rPr>
        <w:t xml:space="preserve"> "这个算是比虚拟实验实用一些"，"这一功能模块是需要有的"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优先级：</w:t>
      </w:r>
      <w:r>
        <w:rPr>
          <w:rFonts w:eastAsia="等线" w:ascii="Arial" w:cs="Arial" w:hAnsi="Arial"/>
          <w:sz w:val="22"/>
        </w:rPr>
        <w:t xml:space="preserve"> P1（MVP 首批）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数据参考：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83931"/>
          <w:sz w:val="22"/>
        </w:rPr>
        <w:t>`data/C02_分子结构数据.md`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color w:val="d83931"/>
          <w:sz w:val="30"/>
        </w:rPr>
        <w:t>6.1 功能概述</w:t>
      </w:r>
      <w:bookmarkEnd w:id="3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 3D 分子结构查看器，支持输入化学式或名称生成球棍模型，支持多种显示模式和分子对比。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color w:val="d83931"/>
          <w:sz w:val="30"/>
        </w:rPr>
        <w:t>6.2 功能模块</w:t>
      </w:r>
      <w:bookmarkEnd w:id="40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color w:val="d83931"/>
          <w:sz w:val="28"/>
        </w:rPr>
        <w:t>6.2.1 分子输入与检索</w:t>
      </w:r>
      <w:bookmarkEnd w:id="4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教师提出多个关键问题：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化学式与物质间不是一一映射关系（如 C₂H₆O 可以是乙醇或甲醚）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系统命名可能出错但有对应结构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物质主要用通俗命名而非系统命名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实现要求：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输入方式（三选一）：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化学式输入（如 CH₄、C₂H₅OH）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IUPAC 系统命名输入（如 ethanol、2-methylpropane）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通俗命名 / 中文名输入（如 酒精、甲醛、葡萄糖）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同分子式多结构处理：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当化学式对应多个结构时，展示所有可能的结构列表供用户选择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示例：输入 </w:t>
      </w:r>
      <w:r>
        <w:rPr>
          <w:rFonts w:eastAsia="等线" w:ascii="Arial" w:cs="Arial" w:hAnsi="Arial"/>
          <w:color w:val="d83931"/>
          <w:sz w:val="22"/>
        </w:rPr>
        <w:t>`C₂H₆O`</w:t>
      </w:r>
      <w:r>
        <w:rPr>
          <w:rFonts w:eastAsia="等线" w:ascii="Arial" w:cs="Arial" w:hAnsi="Arial"/>
          <w:sz w:val="22"/>
        </w:rPr>
        <w:t xml:space="preserve"> → 显示"乙醇 (CH₃CH₂OH)"和"甲醚 (CH₃OCH₃)"两个选项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每个选项附带结构简式缩略图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3.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命名互译：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显示分子的 3D 模型时，同时在信息面板展示该物质的所有命名方式：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系统命名（IUPAC）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通俗名称（中文 + 英文）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化学式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结构简式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color w:val="d83931"/>
          <w:sz w:val="28"/>
        </w:rPr>
        <w:t>6.2.2 3D 分子模型显示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显示模式切换：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05"/>
        <w:gridCol w:w="3255"/>
        <w:gridCol w:w="2505"/>
      </w:tblGrid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球棍模型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原子为球体，化学键为棍，默认模式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比例模型（空间填充模型）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原子按范德华半径比例显示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结构简式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 平面展示结构简式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电子式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显示共用电子对和孤对电子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键线式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省略碳和氢，仅画碳骨架折线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  <w:tr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电子云模型</w:t>
            </w:r>
          </w:p>
        </w:tc>
        <w:tc>
          <w:tcPr>
            <w:tcW w:w="3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以概率云形式展示分子轨道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[拓展]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>"电子式和键线式也是高中考察范畴" — 已加入。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教师意见-存疑待议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"如何展示分子的电子云模型，能否局部展示特定成键的" — 建议方案：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默认显示分子整体的等值面电子云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支持点击某个化学键后，仅显示该键的成键轨道电子云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标注为 </w:t>
      </w:r>
      <w:r>
        <w:rPr>
          <w:rFonts w:eastAsia="等线" w:ascii="Arial" w:cs="Arial" w:hAnsi="Arial"/>
          <w:color w:val="d83931"/>
          <w:sz w:val="22"/>
        </w:rPr>
        <w:t>`[拓展]`</w:t>
      </w:r>
      <w:r>
        <w:rPr>
          <w:rFonts w:eastAsia="等线" w:ascii="Arial" w:cs="Arial" w:hAnsi="Arial"/>
          <w:sz w:val="22"/>
        </w:rPr>
        <w:t xml:space="preserve"> 内容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交互操作：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鼠标左键拖拽：旋转分子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滚轮：缩放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右键拖拽：平移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双击原子：高亮该原子并显示信息（元素符号、连接键数、杂化方式）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双击化学键：显示键信息（键长、键角、键能、键级、键的极性）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color w:val="d83931"/>
          <w:sz w:val="28"/>
        </w:rPr>
        <w:t>6.2.3 键角键长标注</w:t>
      </w:r>
      <w:bookmarkEnd w:id="4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教师指出"高中一定会出分子键长键角变化偏移的分析题"。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功能点：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点击任意两个原子：显示它们之间的键长（单位 pm）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点击任意三个原子：显示键角（单位 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键长键角数据使用标准模型参考值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对于偏离标准值的情况（如 NH₃ 的键角 107.3° 小于标准四面体角 109.5°），需在旁边添加注释气泡说明原因（如"孤对电子的排斥作用使键角减小"）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教师意见-存疑待议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"氨基酸的键角键长数据不太容易获取" — 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氨基酸分子使用标准键长键角参考值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在数据源标注中说明"以标准共价键参数为基准，实际值可能因分子环境略有偏差"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color w:val="d83931"/>
          <w:sz w:val="28"/>
        </w:rPr>
        <w:t>6.2.4 分子对比功能</w:t>
      </w:r>
      <w:bookmarkEnd w:id="4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教师要求对比数据包含键角、键长、键能、键级、成键方式、键的极性。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功能点：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屏幕分栏，左右各放一个 3D 分子模型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下方表格对比：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30"/>
        <w:gridCol w:w="3420"/>
        <w:gridCol w:w="2430"/>
      </w:tblGrid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对比项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示例（CH₄ vs NH₃）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中心原子杂化方式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sp³ vs sp³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键角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109.5° vs 107.3°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键长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C-H 109pm vs N-H 101pm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键能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C-H 413kJ/mol vs N-H 391kJ/mol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键级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vs 1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成键方式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4个σ键 vs 3个σ键+1孤对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键的极性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弱极性 vs 较强极性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VSEPR 构型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正四面体 vs 三角锥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  <w:tr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分子极性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非极性 vs 极性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教师意见-存疑待议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>"斥力间靠定性比较还是定量？" — 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VSEPR 理论的讲解部分使用定性比较（孤对-孤对 &gt; 孤对-成键 &gt; 成键-成键）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键角数据使用定量数值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color w:val="d83931"/>
          <w:sz w:val="28"/>
        </w:rPr>
        <w:t>6.2.5 分子库范围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有机物分子库：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3720"/>
        <w:gridCol w:w="274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烷烃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CH₄、C₂H₆、C₃H₈ 等（C1-C10）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烯烃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C₂H₄、C₃H₆ 等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炔烃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C₂H₂ 等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芳香化合物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苯、甲苯、萘 等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醇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CH₃OH、C₂H₅OH 等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醛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HCHO、CH₃CHO 等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羧酸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HCOOH、CH₃COOH 等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酯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CH₃COOC₂H₅ 等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氨基酸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甘氨酸、丙氨酸 等（20种标准氨基酸）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高分子（单体）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乙烯、氯乙烯、苯乙烯 等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"苯系物" → 应改为"芳香化合物"，范围更广。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无机物分子库：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90"/>
        <w:gridCol w:w="4095"/>
        <w:gridCol w:w="2595"/>
      </w:tblGrid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常见分子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H₂O、NH₃、CO₂、SO₂、SO₃、NO₂、HCl、HF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  <w:r>
              <w:rPr>
                <w:rFonts w:eastAsia="等线" w:ascii="Arial" w:cs="Arial" w:hAnsi="Arial"/>
                <w:sz w:val="22"/>
              </w:rPr>
              <w:t>~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常见离子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SO₄²⁻、NO₃⁻、CO₃²⁻、NH₄⁺、OH⁻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配位化合物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[Cu(NH₃)₄]²⁺、[Fe(SCN)]²⁺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"也就是说仅有这些物质的数据库是吗" — 分子库不做无限扩展，但需覆盖中学教学大纲中涉及的所有分子/离子。完整分子列表见 </w:t>
      </w:r>
      <w:r>
        <w:rPr>
          <w:rFonts w:eastAsia="等线" w:ascii="Arial" w:cs="Arial" w:hAnsi="Arial"/>
          <w:color w:val="d83931"/>
          <w:sz w:val="22"/>
        </w:rPr>
        <w:t>`data/C02_分子结构数据.md`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color w:val="d83931"/>
          <w:sz w:val="32"/>
        </w:rPr>
        <w:t>7. C-05 化学键与晶体结构查看器</w:t>
      </w:r>
      <w:bookmarkEnd w:id="46"/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教师评价：</w:t>
      </w:r>
      <w:r>
        <w:rPr>
          <w:rFonts w:eastAsia="等线" w:ascii="Arial" w:cs="Arial" w:hAnsi="Arial"/>
          <w:sz w:val="22"/>
        </w:rPr>
        <w:t xml:space="preserve"> 认可需要，提供了大量专业修改意见和补充需求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优先级：</w:t>
      </w:r>
      <w:r>
        <w:rPr>
          <w:rFonts w:eastAsia="等线" w:ascii="Arial" w:cs="Arial" w:hAnsi="Arial"/>
          <w:sz w:val="22"/>
        </w:rPr>
        <w:t xml:space="preserve"> P1（MVP 首批）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数据参考：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83931"/>
          <w:sz w:val="22"/>
        </w:rPr>
        <w:t>`data/C05_晶体结构数据.md`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color w:val="d83931"/>
          <w:sz w:val="30"/>
        </w:rPr>
        <w:t>7.1 功能概述</w:t>
      </w:r>
      <w:bookmarkEnd w:id="4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提供四大晶体类型的 3D 晶胞模型查看、化学键可视化、堆积方式演示等功能。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color w:val="d83931"/>
          <w:sz w:val="30"/>
        </w:rPr>
        <w:t>7.2 功能模块</w:t>
      </w:r>
      <w:bookmarkEnd w:id="48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color w:val="d83931"/>
          <w:sz w:val="28"/>
        </w:rPr>
        <w:t>7.2.1 晶体模型库</w:t>
      </w:r>
      <w:bookmarkEnd w:id="4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教师对每种晶体类型的代表物质都提出了修改意见。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离子晶体：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晶体类型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NaCl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岩盐型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面心立方，配位数 6:6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CsCl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氯化铯型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体心立方，配位数 8:8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CaF₂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萤石型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面心立方（Ca²⁺），配位数 8:4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ZnS（闪锌矿）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闪锌矿型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面心立方，配位数 4:4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ZnS（纤锌矿）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纤锌矿型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[拓展]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六方密堆积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教师要求加入闪锌矿、纤锌矿、萤石、氯化铯等结构。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原子晶体：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金刚石 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 C 原子 sp³ 杂化，正四面体连接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SiC 碳化硅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化合物型原子晶体（高考热点）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GaN 氮化镓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化合物型原子晶体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[拓展]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SiO₂ 二氧化硅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 Si 连接 4 个 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"高考热点之一是化合物型原子晶体，如碳化硅、氮化镓"。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金属晶体：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堆积类型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体心立方（BCC）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碱金属代表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面心立方（FCC）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面心立方代表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六方密堆积（HCP）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密堆积代表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典型合金（如 CuZn 黄铜）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金属互化物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[拓展]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特殊合金结构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YBCO（YBa₂Cu₃O₇）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钙钛矿衍生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[拓展]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高温超导体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"金属晶体的代表应该是体心立方的碱金属与面心立方的铜""铁有非常多不同的晶相，不适合做典型代表"。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分子晶体：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干冰 CO₂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面心立方分子排列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冰 H₂O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含氢键的四面体结构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分子晶体中范德华力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color w:val="d83931"/>
          <w:sz w:val="28"/>
        </w:rPr>
        <w:t>7.2.2 晶胞查看与交互</w:t>
      </w:r>
      <w:bookmarkEnd w:id="5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基本交互：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鼠标拖拽旋转晶胞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滚轮缩放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切换显示模式（见 7.2.3）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教师要求加入以下高级功能：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晶胞选取与提取功能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在扩展晶体结构中，用户可框选任意区域，系统判断是否构成有效晶胞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若选取正确：高亮显示该晶胞，弹出晶胞参数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若选取错误：给出提示说明为什么这不是一个有效晶胞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典型案例：</w:t>
      </w:r>
      <w:r>
        <w:rPr>
          <w:rFonts w:eastAsia="等线" w:ascii="Arial" w:cs="Arial" w:hAnsi="Arial"/>
          <w:sz w:val="22"/>
        </w:rPr>
        <w:t xml:space="preserve"> 钙钛矿（如 BaTiO₃）的两种晶胞切法——以 Ba 为顶点 vs 以 Ti 为体心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晶胞间比较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支持双屏对比两种不同晶胞（或同一晶体的不同晶胞切法）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对比表格显示：晶胞参数、配位数、空间群、包含的等效原子数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3.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晶胞参数与分数坐标模块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显示晶胞参数（a, b, c, α, β, γ）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显示各原子的分数坐标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支持由分数坐标计算：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晶胞中各类原子的数目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密度计算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最近邻距离计算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color w:val="d83931"/>
          <w:sz w:val="28"/>
        </w:rPr>
        <w:t>7.2.3 模型切换</w:t>
      </w:r>
      <w:bookmarkEnd w:id="5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"应当有球棍模型和填充模型的切换"。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970"/>
        <w:gridCol w:w="5310"/>
      </w:tblGrid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球棍模型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原子/离子为球，键为棍，默认模式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空间填充模型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原子/离子按实际半径比例显示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多面体模型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以配位多面体表示（如 NaCl 的八面体）</w:t>
            </w:r>
          </w:p>
        </w:tc>
      </w:tr>
      <w:tr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线框模型</w:t>
            </w:r>
          </w:p>
        </w:tc>
        <w:tc>
          <w:tcPr>
            <w:tcW w:w="5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仅显示键的连接关系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color w:val="d83931"/>
          <w:sz w:val="28"/>
        </w:rPr>
        <w:t>7.2.4 等径圆球堆积演示</w:t>
      </w:r>
      <w:bookmarkEnd w:id="5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"一定要从等径圆球的堆积开始，堆积方式和空隙数、空隙类型都要能够展示"。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演示内容：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堆积方式动画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简单立方堆积（SC）：空间利用率 52.4%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体心立方堆积（BCC）：空间利用率 68.0%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面心立方密堆积（FCC / CCP）：空间利用率 74.0%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六方密堆积（HCP）：空间利用率 74.0%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空隙展示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在堆积模型中高亮显示空隙位置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四面体空隙：标注数量（等于球数的 2 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八面体空隙：标注数量（等于球数）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支持点击空隙查看：空隙半径比 r/R、可容纳的最大离子半径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3.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空隙类型与配位数关系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空隙类型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配位数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r/R 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四面体空隙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0.225-0.414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ZnS 中 Zn²⁺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八面体空隙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0.414-0.732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NaCl 中 Na⁺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立方体空隙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0.732-1.000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CsCl 中 Cs⁺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color w:val="d83931"/>
          <w:sz w:val="28"/>
        </w:rPr>
        <w:t>7.2.5 配位数标注</w:t>
      </w:r>
      <w:bookmarkEnd w:id="5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 xml:space="preserve">] </w:t>
      </w:r>
      <w:r>
        <w:rPr>
          <w:rFonts w:eastAsia="等线" w:ascii="Arial" w:cs="Arial" w:hAnsi="Arial"/>
          <w:sz w:val="22"/>
        </w:rPr>
        <w:t>教师要求除异种离子配位外，还需标注同种元素的最近邻。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功能点：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点击任意原子/离子，自动高亮其配位原子/离子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显示信息面板：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异种离子配位数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最近同种元素数量和距离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空隙类型（该离子占据的是四面体空隙还是八面体空隙）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阴阳离子半径比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color w:val="d83931"/>
          <w:sz w:val="28"/>
        </w:rPr>
        <w:t>7.2.6 化学键可视化</w:t>
      </w:r>
      <w:bookmarkEnd w:id="5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键类型高亮：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键类型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显示颜色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离子键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红色虚线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共价键（σ键）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蓝色实线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共价键（π键）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蓝色虚线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金属键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氢键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绿色虚线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分子间作用力（范德华力）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灰色虚线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"离子键的极化属于高中课本的内容，共价性离子键也属于会出题的范畴"：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对于部分共价性的离子键（如 AgI 中的 Ag-I 键），需在信息面板中标注"该离子键具有较强共价性"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用颜色渐变表示离子键的极化程度（纯离子键为红色 → 共价性离子键渐变为红蓝混合）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共价键极性演示：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教师意见-存疑待议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"很好奇会如何实现" — 建议实现方案：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极性键：电子云偏向电负性更大的原子方向，以不对称椭球体表示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非极性键：电子云均匀分布在两原子中间，以对称椭球体表示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可用颜色渐变表示电子云密度分布（高密度区深色，低密度区浅色）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氢键演示：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"氢键的方向性、强度和饱和性最好有所体现"：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方向性：用带箭头的虚线表示氢键方向，标注 X-H···Y 的角度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强度：用虚线粗细和颜色深浅表示强度差异，并在面板中显示典型氢键能（如 O-H···O 约 20 kJ/mol, N-H···O 约 8 kJ/mol）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饱和性：在水分子间氢键模型中，标注每个 O 原子最多形成 2 个氢键（作为氢键供体），每个孤对电子最多接受 1 个氢键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color w:val="d83931"/>
          <w:sz w:val="28"/>
        </w:rPr>
        <w:t>7.2.7 新模型接入</w:t>
      </w:r>
      <w:bookmarkEnd w:id="5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"晶体应当允许接入新模型"。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技术要求：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晶体模型数据以标准化 JSON 格式存储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JSON 格式包含：晶胞参数、空间群、原子位置（分数坐标）、原子类型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支持通过添加新 JSON 文件扩展晶体库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JSON Schema 见 </w:t>
      </w:r>
      <w:r>
        <w:rPr>
          <w:rFonts w:eastAsia="等线" w:ascii="Arial" w:cs="Arial" w:hAnsi="Arial"/>
          <w:color w:val="d83931"/>
          <w:sz w:val="22"/>
        </w:rPr>
        <w:t>`data/C05_晶体结构数据.md`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color w:val="d83931"/>
          <w:sz w:val="32"/>
        </w:rPr>
        <w:t>8. C-07 化学反应速率与平衡模拟器</w:t>
      </w:r>
      <w:bookmarkEnd w:id="56"/>
    </w:p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教师评价：</w:t>
      </w:r>
      <w:r>
        <w:rPr>
          <w:rFonts w:eastAsia="等线" w:ascii="Arial" w:cs="Arial" w:hAnsi="Arial"/>
          <w:sz w:val="22"/>
        </w:rPr>
        <w:t xml:space="preserve"> 认可需要，提出大量专业修改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优先级：</w:t>
      </w:r>
      <w:r>
        <w:rPr>
          <w:rFonts w:eastAsia="等线" w:ascii="Arial" w:cs="Arial" w:hAnsi="Arial"/>
          <w:sz w:val="22"/>
        </w:rPr>
        <w:t xml:space="preserve"> P2（第二批）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数据参考：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83931"/>
          <w:sz w:val="22"/>
        </w:rPr>
        <w:t>`data/C07_反应平衡数据.md`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color w:val="d83931"/>
          <w:sz w:val="30"/>
        </w:rPr>
        <w:t>8.1 功能概述</w:t>
      </w:r>
      <w:bookmarkEnd w:id="5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模拟化学反应速率和化学平衡的建立过程，支持改变条件后观察平衡移动。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color w:val="d83931"/>
          <w:sz w:val="30"/>
        </w:rPr>
        <w:t>8.2 功能模块</w:t>
      </w:r>
      <w:bookmarkEnd w:id="58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color w:val="d83931"/>
          <w:sz w:val="28"/>
        </w:rPr>
        <w:t>8.2.1 微观碰撞动画</w:t>
      </w:r>
      <w:bookmarkEnd w:id="5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教师要求微观模型涉及：分子活化、有效碰撞、过渡态、活化能、键的断裂和生成。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动画内容：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1.</w:t>
      </w:r>
      <w:r>
        <w:rPr>
          <w:rFonts w:eastAsia="等线" w:ascii="Arial" w:cs="Arial" w:hAnsi="Arial"/>
          <w:sz w:val="22"/>
        </w:rPr>
        <w:t xml:space="preserve"> 容器中分子随机运动与碰撞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</w:t>
      </w:r>
      <w:r>
        <w:rPr>
          <w:rFonts w:eastAsia="等线" w:ascii="Arial" w:cs="Arial" w:hAnsi="Arial"/>
          <w:sz w:val="22"/>
        </w:rPr>
        <w:t xml:space="preserve"> 区分有效碰撞和无效碰撞（有效碰撞以闪光标记）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3.</w:t>
      </w:r>
      <w:r>
        <w:rPr>
          <w:rFonts w:eastAsia="等线" w:ascii="Arial" w:cs="Arial" w:hAnsi="Arial"/>
          <w:sz w:val="22"/>
        </w:rPr>
        <w:t xml:space="preserve"> 碰撞过程展示：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分子接近 → 到达过渡态（高亮过渡态结构）→ 键断裂 → 新键形成 → 产物分离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4.</w:t>
      </w:r>
      <w:r>
        <w:rPr>
          <w:rFonts w:eastAsia="等线" w:ascii="Arial" w:cs="Arial" w:hAnsi="Arial"/>
          <w:sz w:val="22"/>
        </w:rPr>
        <w:t xml:space="preserve"> 能量曲线同步显示：反应物能量 → 活化能峰 → 产物能量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5.</w:t>
      </w:r>
      <w:r>
        <w:rPr>
          <w:rFonts w:eastAsia="等线" w:ascii="Arial" w:cs="Arial" w:hAnsi="Arial"/>
          <w:sz w:val="22"/>
        </w:rPr>
        <w:t xml:space="preserve"> 活化分子用不同颜色标记（如高亮为黄色光晕）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操作控件：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温度滑块：调高温度 → 分子运动加快、有效碰撞频率增加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浓度调节：增加反应物分子数量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催化剂开关：降低活化能峰值（动画中表现为过渡态能量降低）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color w:val="d83931"/>
          <w:sz w:val="28"/>
        </w:rPr>
        <w:t>8.2.2 宏观速率分析</w:t>
      </w:r>
      <w:bookmarkEnd w:id="6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教师指出缺少基元反应、决速步和反应级数的内容。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补充模块：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基元反应与决速步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83931"/>
          <w:sz w:val="22"/>
        </w:rPr>
        <w:t>`[高中选修]`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以具体反应为例（如 2NO + O₂ → 2NO₂ 的两步机理），展示：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反应分解为基元步骤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各步的速率表达式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标注决速步（最慢步骤）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动画演示决速步如何决定总反应速率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反应级数概念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83931"/>
          <w:sz w:val="22"/>
        </w:rPr>
        <w:t>`[高中选修]`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83931"/>
          <w:sz w:val="22"/>
        </w:rPr>
        <w:t>`[拓展]`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以简单反应为例说明零级、一级、二级反应的速率方程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图示不同级数的浓度-时间曲线差异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3.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微观速率常数与平衡常数关系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83931"/>
          <w:sz w:val="22"/>
        </w:rPr>
        <w:t>`[高中选修]`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正反应速率常数 k₁ 和逆反应速率常数 k₂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平衡常数 K = k₁/k₂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动画演示达到平衡时 v正 = v逆 的过程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color w:val="d83931"/>
          <w:sz w:val="28"/>
        </w:rPr>
        <w:t>8.2.3 条件改变与图表联动</w:t>
      </w:r>
      <w:bookmarkEnd w:id="6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教师指出图表不仅需要 v-t 图，还需要多变量图表。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图表系统：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图表类型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v-t 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正/逆反应速率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经典平衡建立过程图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c-t 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各物质浓度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反应物减少、产物增加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p-t 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总压强（气体反应）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气体物质的量变化导致压强变化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T-t 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放热/吸热反应的温度变化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吸光度-t 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吸光度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有色物质反应的监测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lgc-t 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lg(浓度)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一级反应的线性化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"可能需要做双 Y 图、多坐标或动态演示"：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支持双 Y 轴图表（如左轴为速率，右轴为浓度）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支持同一坐标系叠加多条曲线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图表随动画实时绘制（非预设静态图）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条件改变操作：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改变浓度：滑块调节某物质浓度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改变温度：滑块调节温度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改变压强：缩小/扩大容器体积（仅气体反应）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加入催化剂：开关按钮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每次改变条件后，图表上标注改变时刻的竖线，新的平衡重新建立的过程实时绘制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**[</w:t>
      </w:r>
      <w:r>
        <w:rPr>
          <w:rFonts w:eastAsia="等线" w:ascii="Arial" w:cs="Arial" w:hAnsi="Arial"/>
          <w:b w:val="true"/>
          <w:color w:val="d83931"/>
          <w:sz w:val="22"/>
        </w:rPr>
        <w:t>教师意见-部分采纳</w:t>
      </w:r>
      <w:r>
        <w:rPr>
          <w:rFonts w:eastAsia="等线" w:ascii="Arial" w:cs="Arial" w:hAnsi="Arial"/>
          <w:b w:val="true"/>
          <w:color w:val="6425d0"/>
          <w:sz w:val="22"/>
        </w:rPr>
        <w:t>]**</w:t>
      </w:r>
      <w:r>
        <w:rPr>
          <w:rFonts w:eastAsia="等线" w:ascii="Arial" w:cs="Arial" w:hAnsi="Arial"/>
          <w:sz w:val="22"/>
        </w:rPr>
        <w:t xml:space="preserve"> 教师指出"只有对反应机理和反应级数明确的反应才能构建瞬时速率表达式"：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本模块仅对预设的、机理明确的反应提供精确的速率模拟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不做通用的"任意反应速率模拟器"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预设反应列表见 </w:t>
      </w:r>
      <w:r>
        <w:rPr>
          <w:rFonts w:eastAsia="等线" w:ascii="Arial" w:cs="Arial" w:hAnsi="Arial"/>
          <w:color w:val="d83931"/>
          <w:sz w:val="22"/>
        </w:rPr>
        <w:t>`data/C07_反应平衡数据.md`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color w:val="d83931"/>
          <w:sz w:val="28"/>
        </w:rPr>
        <w:t>8.2.4 等效平衡演示</w:t>
      </w:r>
      <w:bookmarkEnd w:id="6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教师强调"等效平衡概念很重要，非等效初始条件在平衡时的定性比较也很重要"。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功能点：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等效平衡演示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设置两个对照容器，分别从不同初始条件出发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动画演示两者达到相同平衡状态的过程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典型案例：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恒温恒容下：1mol N₂ + 3mol H₂ vs 2mol NH₃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恒温恒压下的等效平衡条件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浓度商与平衡常数比较</w:t>
      </w:r>
      <w:r>
        <w:rPr>
          <w:rFonts w:eastAsia="等线" w:ascii="Arial" w:cs="Arial" w:hAnsi="Arial"/>
          <w:sz w:val="22"/>
        </w:rPr>
        <w:t xml:space="preserve"> [</w:t>
      </w:r>
      <w:r>
        <w:rPr>
          <w:rFonts w:eastAsia="等线" w:ascii="Arial" w:cs="Arial" w:hAnsi="Arial"/>
          <w:color w:val="d83931"/>
          <w:sz w:val="22"/>
        </w:rPr>
        <w:t>教师意见-采纳</w:t>
      </w:r>
      <w:r>
        <w:rPr>
          <w:rFonts w:eastAsia="等线" w:ascii="Arial" w:cs="Arial" w:hAnsi="Arial"/>
          <w:sz w:val="22"/>
        </w:rPr>
        <w:t>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实时计算当前浓度商 Qc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与平衡常数 Kc 对比显示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Qc &lt; Kc → 正向移动（绿色箭头向右）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Qc &gt; Kc → 逆向移动（红色箭头向左）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Qc = Kc → 平衡（双向等长箭头）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3.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非等效初始条件比较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设置两个容器，初始条件不完全等效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达到平衡后定性比较：哪个容器的转化率更高、平衡浓度更大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color w:val="d83931"/>
          <w:sz w:val="28"/>
        </w:rPr>
        <w:t>8.2.5 K 值与温度关系</w:t>
      </w:r>
      <w:bookmarkEnd w:id="6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"需要内嵌吉布斯-亥姆霍兹方程、范特霍夫等温式及相关计算"。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功能点：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83931"/>
          <w:sz w:val="22"/>
        </w:rPr>
        <w:t>`[高中选修]`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83931"/>
          <w:sz w:val="22"/>
        </w:rPr>
        <w:t>`[拓展]`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K-T 曲线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X 轴：温度 T（或 1/T）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Y 轴：K 值（或 lnK）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放热反应：K 随 T 升高而减小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吸热反应：K 随 T 升高而增大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范特霍夫方程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83931"/>
          <w:sz w:val="22"/>
        </w:rPr>
        <w:t>`[拓展]`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显示公式：ln(K₂/K₁) = -ΔH°/R × (1/T₂ - 1/T₁)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计算器：输入 ΔH°、T₁、K₁、T₂，计算 K₂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3.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吉布斯自由能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83931"/>
          <w:sz w:val="22"/>
        </w:rPr>
        <w:t>`[拓展]`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显示公式：ΔG° = -RT lnK = ΔH° - TΔS°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直观展示 ΔH° 和 ΔS° 对反应自发性的影响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color w:val="d83931"/>
          <w:sz w:val="28"/>
        </w:rPr>
        <w:t>8.2.6 工业反应实例</w:t>
      </w:r>
      <w:bookmarkEnd w:id="6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"具体反应平衡的演示实例不能只有合成氨"。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预设工业反应情景：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方程式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条件优化重点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合成氨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N₂ + 3H₂ ⇌ 2NH₃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温度、压强、催化剂的权衡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SO₂ 氧化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2SO₂ + O₂ ⇌ 2SO₃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硫酸工业核心反应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氧化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2NO + O₂ ⇌ 2NO₂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硝酸工业核心反应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每个情景包含：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工业背景介绍（为什么需要优化条件）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各条件对平衡和速率的影响（互动滑块调节）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最终工业条件的选择理由（"速率与转化率的权衡"讲解）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color w:val="d83931"/>
          <w:sz w:val="32"/>
        </w:rPr>
        <w:t>9. C-06 电化学演示台</w:t>
      </w:r>
      <w:bookmarkEnd w:id="6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教师评价：</w:t>
      </w:r>
      <w:r>
        <w:rPr>
          <w:rFonts w:eastAsia="等线" w:ascii="Arial" w:cs="Arial" w:hAnsi="Arial"/>
          <w:sz w:val="22"/>
        </w:rPr>
        <w:t xml:space="preserve"> "这个模块很难做，虽然是每年高考必考点"；"建议做有限数量的电池模型"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优先级：</w:t>
      </w:r>
      <w:r>
        <w:rPr>
          <w:rFonts w:eastAsia="等线" w:ascii="Arial" w:cs="Arial" w:hAnsi="Arial"/>
          <w:sz w:val="22"/>
        </w:rPr>
        <w:t xml:space="preserve"> P2（第二批）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数据参考：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83931"/>
          <w:sz w:val="22"/>
        </w:rPr>
        <w:t>`data/C06_电化学模型数据.md`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color w:val="d83931"/>
          <w:sz w:val="30"/>
        </w:rPr>
        <w:t>9.1 功能概述</w:t>
      </w:r>
      <w:bookmarkEnd w:id="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Zn-Cu 单液原电池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单液电池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最基础模型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Zn-Cu 双液原电池（盐桥）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双液电池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引入盐桥概念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铅蓄电池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可充电电池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充放电对比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氢氧燃料电池（酸性）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燃料电池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酸性环境电极反应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氢氧燃料电池（碱性）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燃料电池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碱性环境电极反应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锂离子电池（简化）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可充电电池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[拓展]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非水体系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浓差电池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浓差电池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[拓展]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与生物渗透压联合考点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以有限数量的预设电池模型为核心，展示原电池和电解池的工作原理，支持电子/离子流向动画。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color w:val="d83931"/>
          <w:sz w:val="30"/>
        </w:rPr>
        <w:t>9.2 设计原则</w:t>
      </w:r>
      <w:bookmarkEnd w:id="6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核心原则：</w:t>
      </w:r>
      <w:r>
        <w:rPr>
          <w:rFonts w:eastAsia="等线" w:ascii="Arial" w:cs="Arial" w:hAnsi="Arial"/>
          <w:b w:val="true"/>
          <w:color w:val="6425d0"/>
          <w:sz w:val="22"/>
        </w:rPr>
        <w:t>有限模型，精确演绎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不做开放式的"任意材料组合"平台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提供固定数量的经过验证的电池模型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每个模型的电极反应、电子转移、离子迁移均经过专业审核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支持后续根据高考真题补充新模型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color w:val="d83931"/>
          <w:sz w:val="30"/>
        </w:rPr>
        <w:t>9.3 功能模块</w:t>
      </w:r>
      <w:bookmarkEnd w:id="68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color w:val="d83931"/>
          <w:sz w:val="28"/>
        </w:rPr>
        <w:t>9.3.1 原电池模型库</w:t>
      </w:r>
      <w:bookmarkEnd w:id="6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教师建议按类型提供有限模型。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Zn-Cu 单液原电池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单液电池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最基础模型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Zn-Cu 双液原电池（盐桥）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双液电池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引入盐桥概念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铅蓄电池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可充电电池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充放电对比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氢氧燃料电池（酸性）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燃料电池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酸性环境电极反应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氢氧燃料电池（碱性）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燃料电池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碱性环境电极反应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锂离子电池（简化）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可充电电池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[拓展]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非水体系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浓差电池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浓差电池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[拓展]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与生物渗透压联合考点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"要多加几个模型，现在的高考题很喜欢出可逆充放电" — 铅蓄电池和锂离子电池均需演示充放电两个方向。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color w:val="d83931"/>
          <w:sz w:val="28"/>
        </w:rPr>
        <w:t>9.3.2 电解池模型库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电解水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最基础电解实验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电解饱和食盐水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氯碱工业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铜的电解精炼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粗铜→纯铜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电解熔融 NaCl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熔盐电解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冰晶石助熔电解 Al₂O₃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铝的工业冶炼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电镀（铜镀层）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电镀应用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"判断电极可以，别做可调整" — 电解池模型中，电源极性固定，不做"极性可调"功能。阴阳极由系统自动判断标注。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color w:val="d83931"/>
          <w:sz w:val="28"/>
        </w:rPr>
        <w:t>9.3.3 动态演示</w:t>
      </w:r>
      <w:bookmarkEnd w:id="7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教师要求体现溶液中反应、盐桥/隔膜迁移、电极反应竞争。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每个电池模型的动画需包含：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外电路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电子从负极/阳极流向正极/阴极的动画（小球沿导线移动）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电流方向标注（与电子流向相反）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内电路（溶液/熔盐）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阳离子向阴极/正极移动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阴离子向阳极/负极移动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盐桥中的离子迁移（若有盐桥的模型）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隔膜的选择性透过（若有隔膜的模型）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3.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电极反应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两极上发生的半反应方程式实时显示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电极表面的物质变化（如 Zn 电极溶解变细、Cu 电极上铜析出变粗）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反应竞争</w:t>
      </w:r>
      <w:r>
        <w:rPr>
          <w:rFonts w:eastAsia="等线" w:ascii="Arial" w:cs="Arial" w:hAnsi="Arial"/>
          <w:sz w:val="22"/>
        </w:rPr>
        <w:t xml:space="preserve"> [</w:t>
      </w:r>
      <w:r>
        <w:rPr>
          <w:rFonts w:eastAsia="等线" w:ascii="Arial" w:cs="Arial" w:hAnsi="Arial"/>
          <w:color w:val="d83931"/>
          <w:sz w:val="22"/>
        </w:rPr>
        <w:t>教师意见-采纳</w:t>
      </w:r>
      <w:r>
        <w:rPr>
          <w:rFonts w:eastAsia="等线" w:ascii="Arial" w:cs="Arial" w:hAnsi="Arial"/>
          <w:sz w:val="22"/>
        </w:rPr>
        <w:t>]：如电解食盐水中 Cl⁻ 和 OH⁻ 在阳极的放电竞争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4.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物质变化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溶液颜色变化（如 CuSO₄ 溶液变浅）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气泡产生（如电解水产生 H₂ 和 O₂）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pH 变化指示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color w:val="d83931"/>
          <w:sz w:val="28"/>
        </w:rPr>
        <w:t>9.3.4 浓度变化与电势</w:t>
      </w:r>
      <w:bookmarkEnd w:id="7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"能否加入浓度变化影响的电极反应和电势？"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功能点：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83931"/>
          <w:sz w:val="22"/>
        </w:rPr>
        <w:t>`[拓展]`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对于浓差电池模型，显示两侧溶液浓度随时间的变化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显示电动势随浓度变化的趋势（定性展示，不要求能斯特方程精确计算）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标注与生物学渗透压差的联系（跨学科考点提示）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color w:val="d83931"/>
          <w:sz w:val="28"/>
        </w:rPr>
        <w:t>9.3.5 电极方程式辅助</w:t>
      </w:r>
      <w:bookmarkEnd w:id="7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"如不同反应环境下物质的存在性问题"。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功能点：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每个模型的电极方程式显示区域需标注反应环境（酸性/碱性/中性/熔盐）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产物形式随环境变化（如 CO₂ 在碱性环境中以 CO₃²⁻ 形式存在）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对于常见判断错误，提供提示：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"在碱性环境中，产物 CO₂ 不能以分子形式存在，应写为 CO₃²⁻"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"Al 在碱性环境中以 AlO₂⁻ 形式存在，而非 Al³⁺"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color w:val="d83931"/>
          <w:sz w:val="28"/>
        </w:rPr>
        <w:t>9.3.6 装置错误纠正</w:t>
      </w:r>
      <w:bookmarkEnd w:id="7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"电池装置若出现错误的即时纠正"。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功能点：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在特定模型中提供"练习模式"：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给出电池装置图，让学生判断正负极/阴阳极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让学生选择电极材料和电解质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学生选择错误时，系统给出纠正和解释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仅在给定模型和材料范围内进行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color w:val="d83931"/>
          <w:sz w:val="32"/>
        </w:rPr>
        <w:t>10. C-09 有机化学反应路径图（简化版）</w:t>
      </w:r>
      <w:bookmarkEnd w:id="7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教师评价：</w:t>
      </w:r>
      <w:r>
        <w:rPr>
          <w:rFonts w:eastAsia="等线" w:ascii="Arial" w:cs="Arial" w:hAnsi="Arial"/>
          <w:sz w:val="22"/>
        </w:rPr>
        <w:t xml:space="preserve"> "做个轮盘式思维导图（highlight 选中变化路径）就能解决"；"好几个分支功能都要删掉"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优先级：</w:t>
      </w:r>
      <w:r>
        <w:rPr>
          <w:rFonts w:eastAsia="等线" w:ascii="Arial" w:cs="Arial" w:hAnsi="Arial"/>
          <w:sz w:val="22"/>
        </w:rPr>
        <w:t xml:space="preserve"> P3（第二批，简化版）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数据参考：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83931"/>
          <w:sz w:val="22"/>
        </w:rPr>
        <w:t>`data/C09_有机反应路径数据.md`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color w:val="d83931"/>
          <w:sz w:val="30"/>
        </w:rPr>
        <w:t>10.1 功能概述</w:t>
      </w:r>
      <w:bookmarkEnd w:id="7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以轮盘式思维导图形式展示有机物官能团之间的转化关系，支持高亮选中路径。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color w:val="d83931"/>
          <w:sz w:val="30"/>
        </w:rPr>
        <w:t>10.2 功能模块</w:t>
      </w:r>
      <w:bookmarkEnd w:id="77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color w:val="d83931"/>
          <w:sz w:val="28"/>
        </w:rPr>
        <w:t>10.2.1 官能团转化网络图</w:t>
      </w:r>
      <w:bookmarkEnd w:id="7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形式：</w:t>
      </w:r>
      <w:r>
        <w:rPr>
          <w:rFonts w:eastAsia="等线" w:ascii="Arial" w:cs="Arial" w:hAnsi="Arial"/>
          <w:sz w:val="22"/>
        </w:rPr>
        <w:t xml:space="preserve"> 轮盘式（放射状）思维导图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中心节点：</w:t>
      </w:r>
      <w:r>
        <w:rPr>
          <w:rFonts w:eastAsia="等线" w:ascii="Arial" w:cs="Arial" w:hAnsi="Arial"/>
          <w:sz w:val="22"/>
        </w:rPr>
        <w:t xml:space="preserve"> "有机物转化"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一级节点（官能团/物质类别）：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烷烃（C-H、C-C）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烯烃（C=C）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炔烃（C≡C）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卤代烃（C-X）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醇（-OH）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醛（-CHO）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羧酸（-COOH）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酯（-COO-）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芳香烃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酰胺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连接线（反应）：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每条连接线标注：反应类型（如"氧化"、"加成"）、反应条件（试剂、温度等）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鼠标悬停在连接线上时，显示完整的方程式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交互：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点击任意两个节点 → 系统自动高亮从起点到终点的所有可能路径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路径高亮使用不同颜色标注最短路径（推荐路径）和备选路径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点击路径上的任意反应连接线 → 展开显示具体方程式和条件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"物质转化只要不超纲，展示清晰即可" — 所有反应条件和转化路径严格限定在高中课纲范围内。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b w:val="true"/>
          <w:color w:val="d83931"/>
          <w:sz w:val="28"/>
        </w:rPr>
        <w:t>10.2.2 同分异构体模块</w:t>
      </w:r>
      <w:bookmarkEnd w:id="7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教师意见-部分采纳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教师要求保留但做好边界限制。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功能点：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输入分子式，列出所有可能的同分异构体结构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限制条件</w:t>
      </w:r>
      <w:r>
        <w:rPr>
          <w:rFonts w:eastAsia="等线" w:ascii="Arial" w:cs="Arial" w:hAnsi="Arial"/>
          <w:sz w:val="22"/>
        </w:rPr>
        <w:t xml:space="preserve"> [</w:t>
      </w:r>
      <w:r>
        <w:rPr>
          <w:rFonts w:eastAsia="等线" w:ascii="Arial" w:cs="Arial" w:hAnsi="Arial"/>
          <w:color w:val="d83931"/>
          <w:sz w:val="22"/>
        </w:rPr>
        <w:t>教师意见-采纳</w:t>
      </w:r>
      <w:r>
        <w:rPr>
          <w:rFonts w:eastAsia="等线" w:ascii="Arial" w:cs="Arial" w:hAnsi="Arial"/>
          <w:sz w:val="22"/>
        </w:rPr>
        <w:t>]：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含苯环：碳原子数 ≤ 15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不含苯环：碳原子数 ≤ 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异构体分类展示：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异构体类型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是否展示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碳架异构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位置异构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官能团异构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顺反异构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是（使用"顺反"而非"ZE"术语）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手性异构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仅标注手性碳，不要求辨识 R/S 构型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构象异构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不展示（高中不学）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"ZE 高中不学，学顺反""手性倒是学，但是不考辨识 RS 构型""构象异构高中完全不学"。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0" w:id="80"/>
      <w:r>
        <w:rPr>
          <w:rFonts w:eastAsia="等线" w:ascii="Arial" w:cs="Arial" w:hAnsi="Arial"/>
          <w:b w:val="true"/>
          <w:color w:val="d83931"/>
          <w:sz w:val="28"/>
        </w:rPr>
        <w:t>10.2.3 删除的功能</w:t>
      </w:r>
      <w:bookmarkEnd w:id="8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以下功能根据教师意见删除：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原功能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删除原因（教师原话）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典型有机合成路线设计辅助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"删掉别搞"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高分子合成预测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"删了"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高考有机推断题模拟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"做案例库费劲，考虑删掉"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"AI 的有机合成推断是化学领域当下热门，搞基础教学是做不了的" — 不做任何形式的合成路线自动推断功能。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color w:val="d83931"/>
          <w:sz w:val="32"/>
        </w:rPr>
        <w:t>11. C-08 酸碱滴定与 pH 模拟器（小品模块）</w:t>
      </w:r>
      <w:bookmarkEnd w:id="8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教师评价：</w:t>
      </w:r>
      <w:r>
        <w:rPr>
          <w:rFonts w:eastAsia="等线" w:ascii="Arial" w:cs="Arial" w:hAnsi="Arial"/>
          <w:sz w:val="22"/>
        </w:rPr>
        <w:t xml:space="preserve"> "属于小品功能，不那么重要，也容易完成"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优先级：</w:t>
      </w:r>
      <w:r>
        <w:rPr>
          <w:rFonts w:eastAsia="等线" w:ascii="Arial" w:cs="Arial" w:hAnsi="Arial"/>
          <w:sz w:val="22"/>
        </w:rPr>
        <w:t xml:space="preserve"> P3（第二批，小模块）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数据参考：</w:t>
      </w:r>
      <w:r>
        <w:rPr>
          <w:rFonts w:eastAsia="等线" w:ascii="Arial" w:cs="Arial" w:hAnsi="Arial"/>
          <w:sz w:val="22"/>
        </w:rPr>
        <w:t xml:space="preserve"> 数据量较小，直接内置于本文档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color w:val="d83931"/>
          <w:sz w:val="30"/>
        </w:rPr>
        <w:t>11.1 功能概述</w:t>
      </w:r>
      <w:bookmarkEnd w:id="8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展示酸碱滴定的 pH 曲线，辅助理解滴定终点、指示剂选择和缓冲溶液概念。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color w:val="d83931"/>
          <w:sz w:val="30"/>
        </w:rPr>
        <w:t>11.2 功能模块</w:t>
      </w:r>
      <w:bookmarkEnd w:id="83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color w:val="d83931"/>
          <w:sz w:val="28"/>
        </w:rPr>
        <w:t>11.2.1 滴定动画</w:t>
      </w:r>
      <w:bookmarkEnd w:id="8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"滴定的这部分要么并入模拟实验内容要么直接删除"。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调整方案：</w:t>
      </w:r>
      <w:r>
        <w:rPr>
          <w:rFonts w:eastAsia="等线" w:ascii="Arial" w:cs="Arial" w:hAnsi="Arial"/>
          <w:sz w:val="22"/>
        </w:rPr>
        <w:t xml:space="preserve"> 简化为 pH 曲线绘制工具，删除滴定操作动画（如活塞滴液等视觉效果）。保留的是曲线绘制和数据分析功能。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color w:val="d83931"/>
          <w:sz w:val="28"/>
        </w:rPr>
        <w:t>11.2.2 pH 曲线绘制</w:t>
      </w:r>
      <w:bookmarkEnd w:id="8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功能点：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用户选择滴定类型（强酸滴强碱 / 强碱滴强酸 / 强碱滴弱酸 / 强酸滴弱碱）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设定初始浓度和体积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系统实时绘制 pH-V（滴加体积）曲线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曲线上标注：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起始 pH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半当量点（弱酸/弱碱滴定时，pH = pKa）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等当点 / 终点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突跃范围（用色带标注）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"要包含滴定终点误差的定性分析"：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在等当点处标注理论 pH 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标注常用指示剂的变色范围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当指示剂变色点与等当点不完全重合时，标注产生的误差方向（偏大/偏小）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指示剂数据（直接内置）：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1335"/>
        <w:gridCol w:w="2040"/>
        <w:gridCol w:w="1755"/>
        <w:gridCol w:w="204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指示剂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变色范围（pH）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颜色变化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能否用于滴定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石蕊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5.0-8.0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红→紫→蓝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否（变色范围太宽）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酚酞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8.2-10.0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无色→粉红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甲基橙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3.1-4.4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红→橙→黄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甲基红</w:t>
            </w:r>
          </w:p>
        </w:tc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4.4-6.2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红→橙→黄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"中学指示剂就学那四个，石蕊还不能滴定用" — 指示剂限定为上述四种。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b w:val="true"/>
          <w:color w:val="d83931"/>
          <w:sz w:val="28"/>
        </w:rPr>
        <w:t>11.2.3 滴定曲线对比</w:t>
      </w:r>
      <w:bookmarkEnd w:id="8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"最好给定滴定剂和指示剂范围，滴定剂按分析化学要求必须是可标定的"。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功能点：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支持在同一坐标系中叠加显示多条滴定曲线（最多 3 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预设滴定组合（不做任意组合）：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滴定类型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滴定剂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被测物示例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推荐指示剂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强酸滴强碱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盐酸（已标定）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NaOH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酚酞或甲基橙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强碱滴强酸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NaOH（已标定）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盐酸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酚酞或甲基橙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强碱滴弱酸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NaOH（已标定）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醋酸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酚酞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强酸滴弱碱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盐酸（已标定）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氨水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甲基橙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基准物质概念</w:t>
      </w:r>
      <w:r>
        <w:rPr>
          <w:rFonts w:eastAsia="等线" w:ascii="Arial" w:cs="Arial" w:hAnsi="Arial"/>
          <w:sz w:val="22"/>
        </w:rPr>
        <w:t xml:space="preserve"> [</w:t>
      </w:r>
      <w:r>
        <w:rPr>
          <w:rFonts w:eastAsia="等线" w:ascii="Arial" w:cs="Arial" w:hAnsi="Arial"/>
          <w:color w:val="d83931"/>
          <w:sz w:val="22"/>
        </w:rPr>
        <w:t>教师意见-采纳</w:t>
      </w:r>
      <w:r>
        <w:rPr>
          <w:rFonts w:eastAsia="等线" w:ascii="Arial" w:cs="Arial" w:hAnsi="Arial"/>
          <w:sz w:val="22"/>
        </w:rPr>
        <w:t>]：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在界面中简要说明为什么滴定剂需要标定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提及常见基准物质：Na₂CO₃（标定酸）、草酸 H₂C₂O₄（标定碱）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7" w:id="87"/>
      <w:r>
        <w:rPr>
          <w:rFonts w:eastAsia="等线" w:ascii="Arial" w:cs="Arial" w:hAnsi="Arial"/>
          <w:b w:val="true"/>
          <w:color w:val="d83931"/>
          <w:sz w:val="28"/>
        </w:rPr>
        <w:t>11.2.4 缓冲溶液演示</w:t>
      </w:r>
      <w:bookmarkEnd w:id="8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[</w:t>
      </w:r>
      <w:r>
        <w:rPr>
          <w:rFonts w:eastAsia="等线" w:ascii="Arial" w:cs="Arial" w:hAnsi="Arial"/>
          <w:b w:val="true"/>
          <w:color w:val="d83931"/>
          <w:sz w:val="22"/>
        </w:rPr>
        <w:t>教师意见-采纳</w:t>
      </w:r>
      <w:r>
        <w:rPr>
          <w:rFonts w:eastAsia="等线" w:ascii="Arial" w:cs="Arial" w:hAnsi="Arial"/>
          <w:b w:val="true"/>
          <w:color w:val="6425d0"/>
          <w:sz w:val="22"/>
        </w:rPr>
        <w:t>]</w:t>
      </w:r>
      <w:r>
        <w:rPr>
          <w:rFonts w:eastAsia="等线" w:ascii="Arial" w:cs="Arial" w:hAnsi="Arial"/>
          <w:sz w:val="22"/>
        </w:rPr>
        <w:t xml:space="preserve"> "举几个滴定实验的缓冲液（氨性体系和醋酸盐体系）作用，以及血液缓冲即可"。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预设缓冲体系：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缓冲体系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 范围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醋酸-醋酸钠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CH₃COOH / CH₃COONa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~4.75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氨-氯化铵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NH₃·H₂O / NH₄Cl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~9.25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血液缓冲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H₂CO₃ / NaHCO₃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~7.4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演示方式：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对比实验：向缓冲溶液和纯水中分别加入等量酸/碱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双柱形图对比 pH 变化幅度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简要文字说明缓冲原理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8" w:id="88"/>
      <w:r>
        <w:rPr>
          <w:rFonts w:eastAsia="等线" w:ascii="Arial" w:cs="Arial" w:hAnsi="Arial"/>
          <w:b w:val="true"/>
          <w:color w:val="d83931"/>
          <w:sz w:val="28"/>
        </w:rPr>
        <w:t>11.2.5 删除的功能</w:t>
      </w:r>
      <w:bookmarkEnd w:id="8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原功能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删除原因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 计算验证器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教师评价"没意义"，高中不会出此类难题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指示剂选择教学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教师评价"不必做如何选择的教学"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9" w:id="89"/>
      <w:r>
        <w:rPr>
          <w:rFonts w:eastAsia="等线" w:ascii="Arial" w:cs="Arial" w:hAnsi="Arial"/>
          <w:b w:val="true"/>
          <w:color w:val="d83931"/>
          <w:sz w:val="32"/>
        </w:rPr>
        <w:t>12. 暂缓 / 删除模块说明</w:t>
      </w:r>
      <w:bookmarkEnd w:id="8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0" w:id="90"/>
      <w:r>
        <w:rPr>
          <w:rFonts w:eastAsia="等线" w:ascii="Arial" w:cs="Arial" w:hAnsi="Arial"/>
          <w:b w:val="true"/>
          <w:color w:val="d83931"/>
          <w:sz w:val="30"/>
        </w:rPr>
        <w:t>12.1 C-01 虚拟化学实验台 → 暂缓</w:t>
      </w:r>
      <w:bookmarkEnd w:id="9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教师决定：</w:t>
      </w:r>
      <w:r>
        <w:rPr>
          <w:rFonts w:eastAsia="等线" w:ascii="Arial" w:cs="Arial" w:hAnsi="Arial"/>
          <w:sz w:val="22"/>
        </w:rPr>
        <w:t xml:space="preserve"> "不作为最小可行产品模块，反而可以改一改为实验中的原理演示。"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教师核心论据：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1.</w:t>
      </w:r>
      <w:r>
        <w:rPr>
          <w:rFonts w:eastAsia="等线" w:ascii="Arial" w:cs="Arial" w:hAnsi="Arial"/>
          <w:sz w:val="22"/>
        </w:rPr>
        <w:t xml:space="preserve"> 虚拟化学实验相比教学视频缺乏真实感，现有虚拟软件均未能解决这个问题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2.</w:t>
      </w:r>
      <w:r>
        <w:rPr>
          <w:rFonts w:eastAsia="等线" w:ascii="Arial" w:cs="Arial" w:hAnsi="Arial"/>
          <w:sz w:val="22"/>
        </w:rPr>
        <w:t xml:space="preserve"> 化学实验变量远多于物理实验（浓度、温度、纯度、催化剂、状态、杂质、副反应等），难以有效可视化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3.</w:t>
      </w:r>
      <w:r>
        <w:rPr>
          <w:rFonts w:eastAsia="等线" w:ascii="Arial" w:cs="Arial" w:hAnsi="Arial"/>
          <w:sz w:val="22"/>
        </w:rPr>
        <w:t xml:space="preserve"> 现有实验视频的痛点（预设结论、忽略真实现象）虚拟平台同样无法解决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4.</w:t>
      </w:r>
      <w:r>
        <w:rPr>
          <w:rFonts w:eastAsia="等线" w:ascii="Arial" w:cs="Arial" w:hAnsi="Arial"/>
          <w:sz w:val="22"/>
        </w:rPr>
        <w:t xml:space="preserve"> 点击拖拽图标拼成实验装置并非真正的"交互性"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处理方式：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从 MVP 中移除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后续版本可考虑开发"实验原理演示"模块（侧重原理动画而非实验操作模拟）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离子方程式书写验证器功能已并入 C-03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b w:val="true"/>
          <w:color w:val="d83931"/>
          <w:sz w:val="30"/>
        </w:rPr>
        <w:t>12.2 C-10 化学计算助手 → 删除</w:t>
      </w:r>
      <w:bookmarkEnd w:id="9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教师决定：</w:t>
      </w:r>
      <w:r>
        <w:rPr>
          <w:rFonts w:eastAsia="等线" w:ascii="Arial" w:cs="Arial" w:hAnsi="Arial"/>
          <w:sz w:val="22"/>
        </w:rPr>
        <w:t xml:space="preserve"> "这种简单模块都要做，安排化学老师上课的意义是什么？""应用替代大脑，程序替代思考，连基础运算的练习都要依赖辅助教学工具的话，学生和老师就废了。"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处理方式：</w:t>
      </w:r>
      <w:r>
        <w:rPr>
          <w:rFonts w:eastAsia="等线" w:ascii="Arial" w:cs="Arial" w:hAnsi="Arial"/>
          <w:sz w:val="22"/>
        </w:rPr>
        <w:t xml:space="preserve"> 永久删除，不列入后续版本规划。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b w:val="true"/>
          <w:color w:val="d83931"/>
          <w:sz w:val="30"/>
        </w:rPr>
        <w:t>12.3 C-11 化学实验安全教育模拟 → 暂缓</w:t>
      </w:r>
      <w:bookmarkEnd w:id="9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教师决定：</w:t>
      </w:r>
      <w:r>
        <w:rPr>
          <w:rFonts w:eastAsia="等线" w:ascii="Arial" w:cs="Arial" w:hAnsi="Arial"/>
          <w:sz w:val="22"/>
        </w:rPr>
        <w:t xml:space="preserve"> "要么不做，要么直接做成化学安全教育的大模块。""这个功能概述实在丐的可怜，需要开发这个功能的时候再审吧。"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处理方式：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暂缓开发，待重新设计后再提交审阅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-</w:t>
      </w:r>
      <w:r>
        <w:rPr>
          <w:rFonts w:eastAsia="等线" w:ascii="Arial" w:cs="Arial" w:hAnsi="Arial"/>
          <w:sz w:val="22"/>
        </w:rPr>
        <w:t xml:space="preserve"> 若后续开发，需扩展为完整的"化学安全教育"大模块，而非仅作为小功能附属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3" w:id="93"/>
      <w:r>
        <w:rPr>
          <w:rFonts w:eastAsia="等线" w:ascii="Arial" w:cs="Arial" w:hAnsi="Arial"/>
          <w:b w:val="true"/>
          <w:color w:val="d83931"/>
          <w:sz w:val="32"/>
        </w:rPr>
        <w:t>13. 数据参考文档索引</w:t>
      </w:r>
      <w:bookmarkEnd w:id="9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文件路径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数据规模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data/C04_元素周期表_元素数据.md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118 个元素的完整介绍（基本信息、物理化学性质、发现史、应用、趣味事实、教学关联）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118 条元素记录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data/C05_晶体结构数据.md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晶体模型的晶胞参数、空间群、原子坐标、JSON Schema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15 个晶体模型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data/C03_方程式题库数据.md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配平练习方程式、配平方法标注、纠错示例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100+ 方程式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data/C06_电化学模型数据.md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各电池/电解池模型的电极反应、标准电极电势、动画参数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13 个模型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data/C07_反应平衡数据.md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反应热力学参数、速率参数、平衡常数数据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10 个反应体系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data/C09_有机反应路径数据.md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官能团转化网络的反应条件、方程式数据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50+ 反应路径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data/C02_分子结构数据.md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分子库列表及 3D 结构参数（键长、键角、VSEPR 构型）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C-02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80+ 分子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4" w:id="94"/>
      <w:r>
        <w:rPr>
          <w:rFonts w:eastAsia="等线" w:ascii="Arial" w:cs="Arial" w:hAnsi="Arial"/>
          <w:b w:val="true"/>
          <w:color w:val="d83931"/>
          <w:sz w:val="32"/>
        </w:rPr>
        <w:t>14. 附录：CSS 样式参考代码</w:t>
      </w:r>
      <w:bookmarkEnd w:id="9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以下为工程师实现时的样式参考。所有模块统一引用此变量体系。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CSS 变量定义（</w:t>
      </w:r>
      <w:r>
        <w:rPr>
          <w:rFonts w:eastAsia="等线" w:ascii="Arial" w:cs="Arial" w:hAnsi="Arial"/>
          <w:b w:val="true"/>
          <w:color w:val="d83931"/>
          <w:sz w:val="22"/>
        </w:rPr>
        <w:t>`:root`</w:t>
      </w:r>
      <w:r>
        <w:rPr>
          <w:rFonts w:eastAsia="等线" w:ascii="Arial" w:cs="Arial" w:hAnsi="Arial"/>
          <w:b w:val="true"/>
          <w:color w:val="6425d0"/>
          <w:sz w:val="22"/>
        </w:rPr>
        <w:t>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CSS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:root</w:t>
      </w:r>
      <w:r>
        <w:rPr>
          <w:rFonts w:eastAsia="等线" w:ascii="Arial" w:cs="Arial" w:hAnsi="Arial"/>
          <w:sz w:val="22"/>
        </w:rPr>
        <w:t xml:space="preserve">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ea121"/>
          <w:sz w:val="22"/>
        </w:rPr>
        <w:t>/* 品牌色 */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6425d0"/>
          <w:sz w:val="22"/>
        </w:rPr>
        <w:t>--color-primary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#00C06B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6425d0"/>
          <w:sz w:val="22"/>
        </w:rPr>
        <w:t>--color-primary-dark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#00A85A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6425d0"/>
          <w:sz w:val="22"/>
        </w:rPr>
        <w:t>--color-primary-light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#E8F8F0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6425d0"/>
          <w:sz w:val="22"/>
        </w:rPr>
        <w:t>--color-primary-bg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#F0FAF5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ea121"/>
          <w:sz w:val="22"/>
        </w:rPr>
        <w:t>/* 页面底色：纯白 */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6425d0"/>
          <w:sz w:val="22"/>
        </w:rPr>
        <w:t>--color-page-bg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#FFFFFF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ea121"/>
          <w:sz w:val="22"/>
        </w:rPr>
        <w:t>/* 语义色 */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6425d0"/>
          <w:sz w:val="22"/>
        </w:rPr>
        <w:t>--color-success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#00C06B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6425d0"/>
          <w:sz w:val="22"/>
        </w:rPr>
        <w:t>--color-error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#E53E3E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6425d0"/>
          <w:sz w:val="22"/>
        </w:rPr>
        <w:t>--color-warning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#F6AD55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6425d0"/>
          <w:sz w:val="22"/>
        </w:rPr>
        <w:t>--color-info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#3182CE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ea121"/>
          <w:sz w:val="22"/>
        </w:rPr>
        <w:t>/* 文字色：白底黑字为主 */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6425d0"/>
          <w:sz w:val="22"/>
        </w:rPr>
        <w:t>--color-text-primary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#1A202C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6425d0"/>
          <w:sz w:val="22"/>
        </w:rPr>
        <w:t>--color-text-secondary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#4A5568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6425d0"/>
          <w:sz w:val="22"/>
        </w:rPr>
        <w:t>--color-text-muted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#A0AEC0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ea121"/>
          <w:sz w:val="22"/>
        </w:rPr>
        <w:t>/* 边框与分割线 */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6425d0"/>
          <w:sz w:val="22"/>
        </w:rPr>
        <w:t>--color-border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#E2E8F0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ea121"/>
          <w:sz w:val="22"/>
        </w:rPr>
        <w:t>/* 圆角 */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6425d0"/>
          <w:sz w:val="22"/>
        </w:rPr>
        <w:t>--radius-sm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4px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6425d0"/>
          <w:sz w:val="22"/>
        </w:rPr>
        <w:t>--radius-md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8px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6425d0"/>
          <w:sz w:val="22"/>
        </w:rPr>
        <w:t>--radius-lg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12px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2ea121"/>
          <w:sz w:val="22"/>
        </w:rPr>
        <w:t>/* 阴影 */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6425d0"/>
          <w:sz w:val="22"/>
        </w:rPr>
        <w:t>--shadow-card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0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ea121"/>
          <w:sz w:val="22"/>
        </w:rPr>
        <w:t>1px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ea121"/>
          <w:sz w:val="22"/>
        </w:rPr>
        <w:t>3px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e7802"/>
          <w:sz w:val="22"/>
        </w:rPr>
        <w:t>rgba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2ea121"/>
          <w:sz w:val="22"/>
        </w:rPr>
        <w:t>0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color w:val="2ea121"/>
          <w:sz w:val="22"/>
        </w:rPr>
        <w:t>0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color w:val="2ea121"/>
          <w:sz w:val="22"/>
        </w:rPr>
        <w:t>0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color w:val="2ea121"/>
          <w:sz w:val="22"/>
        </w:rPr>
        <w:t>0.08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6425d0"/>
          <w:sz w:val="22"/>
        </w:rPr>
        <w:t>--shadow-hover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0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ea121"/>
          <w:sz w:val="22"/>
        </w:rPr>
        <w:t>4px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ea121"/>
          <w:sz w:val="22"/>
        </w:rPr>
        <w:t>12px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e7802"/>
          <w:sz w:val="22"/>
        </w:rPr>
        <w:t>rgba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2ea121"/>
          <w:sz w:val="22"/>
        </w:rPr>
        <w:t>0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color w:val="2ea121"/>
          <w:sz w:val="22"/>
        </w:rPr>
        <w:t>0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color w:val="2ea121"/>
          <w:sz w:val="22"/>
        </w:rPr>
        <w:t>0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color w:val="2ea121"/>
          <w:sz w:val="22"/>
        </w:rPr>
        <w:t>0.12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页面底色（纯白）：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CSS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body</w:t>
      </w:r>
      <w:r>
        <w:rPr>
          <w:rFonts w:eastAsia="等线" w:ascii="Arial" w:cs="Arial" w:hAnsi="Arial"/>
          <w:sz w:val="22"/>
        </w:rPr>
        <w:t xml:space="preserve">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background-color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--color-page-bg</w:t>
      </w:r>
      <w:r>
        <w:rPr>
          <w:rFonts w:eastAsia="等线" w:ascii="Arial" w:cs="Arial" w:hAnsi="Arial"/>
          <w:sz w:val="22"/>
        </w:rPr>
        <w:t xml:space="preserve">); </w:t>
      </w:r>
      <w:r>
        <w:rPr>
          <w:rFonts w:eastAsia="等线" w:ascii="Arial" w:cs="Arial" w:hAnsi="Arial"/>
          <w:color w:val="2ea121"/>
          <w:sz w:val="22"/>
        </w:rPr>
        <w:t>/* #FFFFFF */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--color-text-primary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font-family</w:t>
      </w:r>
      <w:r>
        <w:rPr>
          <w:rFonts w:eastAsia="等线" w:ascii="Arial" w:cs="Arial" w:hAnsi="Arial"/>
          <w:sz w:val="22"/>
        </w:rPr>
        <w:t xml:space="preserve">: -apple-system, BlinkMacSystemFont, </w:t>
      </w:r>
      <w:r>
        <w:rPr>
          <w:rFonts w:eastAsia="等线" w:ascii="Arial" w:cs="Arial" w:hAnsi="Arial"/>
          <w:color w:val="d83931"/>
          <w:sz w:val="22"/>
        </w:rPr>
        <w:t>"Segoe UI"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color w:val="d83931"/>
          <w:sz w:val="22"/>
        </w:rPr>
        <w:t>"PingFang SC"</w:t>
      </w:r>
      <w:r>
        <w:rPr>
          <w:rFonts w:eastAsia="等线" w:ascii="Arial" w:cs="Arial" w:hAnsi="Arial"/>
          <w:sz w:val="22"/>
        </w:rPr>
        <w:t>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</w:t>
      </w:r>
      <w:r>
        <w:rPr>
          <w:rFonts w:eastAsia="等线" w:ascii="Arial" w:cs="Arial" w:hAnsi="Arial"/>
          <w:color w:val="d83931"/>
          <w:sz w:val="22"/>
        </w:rPr>
        <w:t>"Hiragino Sans GB"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color w:val="d83931"/>
          <w:sz w:val="22"/>
        </w:rPr>
        <w:t>"Microsoft YaHei"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color w:val="245bdb"/>
          <w:sz w:val="22"/>
        </w:rPr>
        <w:t>sans-serif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line-height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1.6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按钮样式：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CSS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.btn-primary</w:t>
      </w:r>
      <w:r>
        <w:rPr>
          <w:rFonts w:eastAsia="等线" w:ascii="Arial" w:cs="Arial" w:hAnsi="Arial"/>
          <w:sz w:val="22"/>
        </w:rPr>
        <w:t xml:space="preserve">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background-color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--color-primary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#FFFFFF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border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none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padding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8px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ea121"/>
          <w:sz w:val="22"/>
        </w:rPr>
        <w:t>20px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border-radius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--radius-sm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cursor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pointer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font-size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14px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transition</w:t>
      </w:r>
      <w:r>
        <w:rPr>
          <w:rFonts w:eastAsia="等线" w:ascii="Arial" w:cs="Arial" w:hAnsi="Arial"/>
          <w:sz w:val="22"/>
        </w:rPr>
        <w:t xml:space="preserve">: background-color </w:t>
      </w:r>
      <w:r>
        <w:rPr>
          <w:rFonts w:eastAsia="等线" w:ascii="Arial" w:cs="Arial" w:hAnsi="Arial"/>
          <w:color w:val="2ea121"/>
          <w:sz w:val="22"/>
        </w:rPr>
        <w:t>0.2s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.btn-primary:hover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background-color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--color-primary-dark</w:t>
      </w:r>
      <w:r>
        <w:rPr>
          <w:rFonts w:eastAsia="等线" w:ascii="Arial" w:cs="Arial" w:hAnsi="Arial"/>
          <w:sz w:val="22"/>
        </w:rPr>
        <w:t>);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.btn-primary:disabled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background-color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--color-text-muted</w:t>
      </w:r>
      <w:r>
        <w:rPr>
          <w:rFonts w:eastAsia="等线" w:ascii="Arial" w:cs="Arial" w:hAnsi="Arial"/>
          <w:sz w:val="22"/>
        </w:rPr>
        <w:t xml:space="preserve">); </w:t>
      </w:r>
      <w:r>
        <w:rPr>
          <w:rFonts w:eastAsia="等线" w:ascii="Arial" w:cs="Arial" w:hAnsi="Arial"/>
          <w:color w:val="d83931"/>
          <w:sz w:val="22"/>
        </w:rPr>
        <w:t>cursor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not-allowed</w:t>
      </w:r>
      <w:r>
        <w:rPr>
          <w:rFonts w:eastAsia="等线" w:ascii="Arial" w:cs="Arial" w:hAnsi="Arial"/>
          <w:sz w:val="22"/>
        </w:rPr>
        <w:t>;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.btn-secondary</w:t>
      </w:r>
      <w:r>
        <w:rPr>
          <w:rFonts w:eastAsia="等线" w:ascii="Arial" w:cs="Arial" w:hAnsi="Arial"/>
          <w:sz w:val="22"/>
        </w:rPr>
        <w:t xml:space="preserve">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background-color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#FFFFFF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--color-primary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border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1px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45bdb"/>
          <w:sz w:val="22"/>
        </w:rPr>
        <w:t>solid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--color-primary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padding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8px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ea121"/>
          <w:sz w:val="22"/>
        </w:rPr>
        <w:t>20px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border-radius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--radius-sm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cursor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pointer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.btn-secondary:hover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background-color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--color-primary-light</w:t>
      </w:r>
      <w:r>
        <w:rPr>
          <w:rFonts w:eastAsia="等线" w:ascii="Arial" w:cs="Arial" w:hAnsi="Arial"/>
          <w:sz w:val="22"/>
        </w:rPr>
        <w:t>);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.btn-danger</w:t>
      </w:r>
      <w:r>
        <w:rPr>
          <w:rFonts w:eastAsia="等线" w:ascii="Arial" w:cs="Arial" w:hAnsi="Arial"/>
          <w:sz w:val="22"/>
        </w:rPr>
        <w:t xml:space="preserve">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background-color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--color-error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#FFFFFF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border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none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padding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8px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ea121"/>
          <w:sz w:val="22"/>
        </w:rPr>
        <w:t>20px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border-radius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--radius-sm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卡片面板（白底，靠边框/阴影区分层级）：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CSS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.card</w:t>
      </w:r>
      <w:r>
        <w:rPr>
          <w:rFonts w:eastAsia="等线" w:ascii="Arial" w:cs="Arial" w:hAnsi="Arial"/>
          <w:sz w:val="22"/>
        </w:rPr>
        <w:t xml:space="preserve">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#FFFFFF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border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1px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45bdb"/>
          <w:sz w:val="22"/>
        </w:rPr>
        <w:t>solid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--color-border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border-radius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--radius-md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padding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20px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box-shadow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--shadow-card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.card:hover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box-shadow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--shadow-hover</w:t>
      </w:r>
      <w:r>
        <w:rPr>
          <w:rFonts w:eastAsia="等线" w:ascii="Arial" w:cs="Arial" w:hAnsi="Arial"/>
          <w:sz w:val="22"/>
        </w:rPr>
        <w:t>);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.card-highlight</w:t>
      </w:r>
      <w:r>
        <w:rPr>
          <w:rFonts w:eastAsia="等线" w:ascii="Arial" w:cs="Arial" w:hAnsi="Arial"/>
          <w:sz w:val="22"/>
        </w:rPr>
        <w:t xml:space="preserve">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--color-primary-light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border-left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3px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45bdb"/>
          <w:sz w:val="22"/>
        </w:rPr>
        <w:t>solid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--color-primary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padding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16px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ea121"/>
          <w:sz w:val="22"/>
        </w:rPr>
        <w:t>20px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border-radius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0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--radius-md</w:t>
      </w:r>
      <w:r>
        <w:rPr>
          <w:rFonts w:eastAsia="等线" w:ascii="Arial" w:cs="Arial" w:hAnsi="Arial"/>
          <w:sz w:val="22"/>
        </w:rPr>
        <w:t xml:space="preserve">)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--radius-md</w:t>
      </w:r>
      <w:r>
        <w:rPr>
          <w:rFonts w:eastAsia="等线" w:ascii="Arial" w:cs="Arial" w:hAnsi="Arial"/>
          <w:sz w:val="22"/>
        </w:rPr>
        <w:t xml:space="preserve">) </w:t>
      </w:r>
      <w:r>
        <w:rPr>
          <w:rFonts w:eastAsia="等线" w:ascii="Arial" w:cs="Arial" w:hAnsi="Arial"/>
          <w:color w:val="2ea121"/>
          <w:sz w:val="22"/>
        </w:rPr>
        <w:t>0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学段标签：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CSS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.tag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display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inline-block</w:t>
      </w:r>
      <w:r>
        <w:rPr>
          <w:rFonts w:eastAsia="等线" w:ascii="Arial" w:cs="Arial" w:hAnsi="Arial"/>
          <w:sz w:val="22"/>
        </w:rPr>
        <w:t xml:space="preserve">; </w:t>
      </w:r>
      <w:r>
        <w:rPr>
          <w:rFonts w:eastAsia="等线" w:ascii="Arial" w:cs="Arial" w:hAnsi="Arial"/>
          <w:color w:val="d83931"/>
          <w:sz w:val="22"/>
        </w:rPr>
        <w:t>padding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2px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ea121"/>
          <w:sz w:val="22"/>
        </w:rPr>
        <w:t>8px</w:t>
      </w:r>
      <w:r>
        <w:rPr>
          <w:rFonts w:eastAsia="等线" w:ascii="Arial" w:cs="Arial" w:hAnsi="Arial"/>
          <w:sz w:val="22"/>
        </w:rPr>
        <w:t xml:space="preserve">; </w:t>
      </w:r>
      <w:r>
        <w:rPr>
          <w:rFonts w:eastAsia="等线" w:ascii="Arial" w:cs="Arial" w:hAnsi="Arial"/>
          <w:color w:val="d83931"/>
          <w:sz w:val="22"/>
        </w:rPr>
        <w:t>border-radius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--radius-sm</w:t>
      </w:r>
      <w:r>
        <w:rPr>
          <w:rFonts w:eastAsia="等线" w:ascii="Arial" w:cs="Arial" w:hAnsi="Arial"/>
          <w:sz w:val="22"/>
        </w:rPr>
        <w:t xml:space="preserve">); </w:t>
      </w:r>
      <w:r>
        <w:rPr>
          <w:rFonts w:eastAsia="等线" w:ascii="Arial" w:cs="Arial" w:hAnsi="Arial"/>
          <w:color w:val="d83931"/>
          <w:sz w:val="22"/>
        </w:rPr>
        <w:t>font-size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12px</w:t>
      </w:r>
      <w:r>
        <w:rPr>
          <w:rFonts w:eastAsia="等线" w:ascii="Arial" w:cs="Arial" w:hAnsi="Arial"/>
          <w:sz w:val="22"/>
        </w:rPr>
        <w:t xml:space="preserve">; </w:t>
      </w:r>
      <w:r>
        <w:rPr>
          <w:rFonts w:eastAsia="等线" w:ascii="Arial" w:cs="Arial" w:hAnsi="Arial"/>
          <w:color w:val="d83931"/>
          <w:sz w:val="22"/>
        </w:rPr>
        <w:t>font-weight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500</w:t>
      </w:r>
      <w:r>
        <w:rPr>
          <w:rFonts w:eastAsia="等线" w:ascii="Arial" w:cs="Arial" w:hAnsi="Arial"/>
          <w:sz w:val="22"/>
        </w:rPr>
        <w:t>;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.tag-junior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--color-primary-light</w:t>
      </w:r>
      <w:r>
        <w:rPr>
          <w:rFonts w:eastAsia="等线" w:ascii="Arial" w:cs="Arial" w:hAnsi="Arial"/>
          <w:sz w:val="22"/>
        </w:rPr>
        <w:t xml:space="preserve">);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--color-primary-dark</w:t>
      </w:r>
      <w:r>
        <w:rPr>
          <w:rFonts w:eastAsia="等线" w:ascii="Arial" w:cs="Arial" w:hAnsi="Arial"/>
          <w:sz w:val="22"/>
        </w:rPr>
        <w:t>);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.tag-senior-req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#EBF8FF</w:t>
      </w:r>
      <w:r>
        <w:rPr>
          <w:rFonts w:eastAsia="等线" w:ascii="Arial" w:cs="Arial" w:hAnsi="Arial"/>
          <w:sz w:val="22"/>
        </w:rPr>
        <w:t xml:space="preserve">;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#2B6CB0</w:t>
      </w:r>
      <w:r>
        <w:rPr>
          <w:rFonts w:eastAsia="等线" w:ascii="Arial" w:cs="Arial" w:hAnsi="Arial"/>
          <w:sz w:val="22"/>
        </w:rPr>
        <w:t>;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.tag-senior-opt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#FAF5FF</w:t>
      </w:r>
      <w:r>
        <w:rPr>
          <w:rFonts w:eastAsia="等线" w:ascii="Arial" w:cs="Arial" w:hAnsi="Arial"/>
          <w:sz w:val="22"/>
        </w:rPr>
        <w:t xml:space="preserve">;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#6B46C1</w:t>
      </w:r>
      <w:r>
        <w:rPr>
          <w:rFonts w:eastAsia="等线" w:ascii="Arial" w:cs="Arial" w:hAnsi="Arial"/>
          <w:sz w:val="22"/>
        </w:rPr>
        <w:t>;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.tag-extra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#FFFAF0</w:t>
      </w:r>
      <w:r>
        <w:rPr>
          <w:rFonts w:eastAsia="等线" w:ascii="Arial" w:cs="Arial" w:hAnsi="Arial"/>
          <w:sz w:val="22"/>
        </w:rPr>
        <w:t xml:space="preserve">;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#C05621</w:t>
      </w:r>
      <w:r>
        <w:rPr>
          <w:rFonts w:eastAsia="等线" w:ascii="Arial" w:cs="Arial" w:hAnsi="Arial"/>
          <w:sz w:val="22"/>
        </w:rPr>
        <w:t>; }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提示卡片（Alert）：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CSS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.alert</w:t>
      </w:r>
      <w:r>
        <w:rPr>
          <w:rFonts w:eastAsia="等线" w:ascii="Arial" w:cs="Arial" w:hAnsi="Arial"/>
          <w:sz w:val="22"/>
        </w:rPr>
        <w:t xml:space="preserve">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padding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12px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ea121"/>
          <w:sz w:val="22"/>
        </w:rPr>
        <w:t>16px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border-radius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--radius-sm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border-left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4px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45bdb"/>
          <w:sz w:val="22"/>
        </w:rPr>
        <w:t>solid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margin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12px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ea121"/>
          <w:sz w:val="22"/>
        </w:rPr>
        <w:t>0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.alert-success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--color-primary-light</w:t>
      </w:r>
      <w:r>
        <w:rPr>
          <w:rFonts w:eastAsia="等线" w:ascii="Arial" w:cs="Arial" w:hAnsi="Arial"/>
          <w:sz w:val="22"/>
        </w:rPr>
        <w:t xml:space="preserve">); </w:t>
      </w:r>
      <w:r>
        <w:rPr>
          <w:rFonts w:eastAsia="等线" w:ascii="Arial" w:cs="Arial" w:hAnsi="Arial"/>
          <w:color w:val="d83931"/>
          <w:sz w:val="22"/>
        </w:rPr>
        <w:t>border-color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--color-primary</w:t>
      </w:r>
      <w:r>
        <w:rPr>
          <w:rFonts w:eastAsia="等线" w:ascii="Arial" w:cs="Arial" w:hAnsi="Arial"/>
          <w:sz w:val="22"/>
        </w:rPr>
        <w:t xml:space="preserve">);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--color-text-primary</w:t>
      </w:r>
      <w:r>
        <w:rPr>
          <w:rFonts w:eastAsia="等线" w:ascii="Arial" w:cs="Arial" w:hAnsi="Arial"/>
          <w:sz w:val="22"/>
        </w:rPr>
        <w:t>);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.alert-error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#FFF5F5</w:t>
      </w:r>
      <w:r>
        <w:rPr>
          <w:rFonts w:eastAsia="等线" w:ascii="Arial" w:cs="Arial" w:hAnsi="Arial"/>
          <w:sz w:val="22"/>
        </w:rPr>
        <w:t xml:space="preserve">; </w:t>
      </w:r>
      <w:r>
        <w:rPr>
          <w:rFonts w:eastAsia="等线" w:ascii="Arial" w:cs="Arial" w:hAnsi="Arial"/>
          <w:color w:val="d83931"/>
          <w:sz w:val="22"/>
        </w:rPr>
        <w:t>border-color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--color-error</w:t>
      </w:r>
      <w:r>
        <w:rPr>
          <w:rFonts w:eastAsia="等线" w:ascii="Arial" w:cs="Arial" w:hAnsi="Arial"/>
          <w:sz w:val="22"/>
        </w:rPr>
        <w:t xml:space="preserve">);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--color-text-primary</w:t>
      </w:r>
      <w:r>
        <w:rPr>
          <w:rFonts w:eastAsia="等线" w:ascii="Arial" w:cs="Arial" w:hAnsi="Arial"/>
          <w:sz w:val="22"/>
        </w:rPr>
        <w:t>);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.alert-warning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#FFFAF0</w:t>
      </w:r>
      <w:r>
        <w:rPr>
          <w:rFonts w:eastAsia="等线" w:ascii="Arial" w:cs="Arial" w:hAnsi="Arial"/>
          <w:sz w:val="22"/>
        </w:rPr>
        <w:t xml:space="preserve">; </w:t>
      </w:r>
      <w:r>
        <w:rPr>
          <w:rFonts w:eastAsia="等线" w:ascii="Arial" w:cs="Arial" w:hAnsi="Arial"/>
          <w:color w:val="d83931"/>
          <w:sz w:val="22"/>
        </w:rPr>
        <w:t>border-color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--color-warning</w:t>
      </w:r>
      <w:r>
        <w:rPr>
          <w:rFonts w:eastAsia="等线" w:ascii="Arial" w:cs="Arial" w:hAnsi="Arial"/>
          <w:sz w:val="22"/>
        </w:rPr>
        <w:t xml:space="preserve">);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--color-text-primary</w:t>
      </w:r>
      <w:r>
        <w:rPr>
          <w:rFonts w:eastAsia="等线" w:ascii="Arial" w:cs="Arial" w:hAnsi="Arial"/>
          <w:sz w:val="22"/>
        </w:rPr>
        <w:t>);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.alert-info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#EBF8FF</w:t>
      </w:r>
      <w:r>
        <w:rPr>
          <w:rFonts w:eastAsia="等线" w:ascii="Arial" w:cs="Arial" w:hAnsi="Arial"/>
          <w:sz w:val="22"/>
        </w:rPr>
        <w:t xml:space="preserve">; </w:t>
      </w:r>
      <w:r>
        <w:rPr>
          <w:rFonts w:eastAsia="等线" w:ascii="Arial" w:cs="Arial" w:hAnsi="Arial"/>
          <w:color w:val="d83931"/>
          <w:sz w:val="22"/>
        </w:rPr>
        <w:t>border-color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--color-info</w:t>
      </w:r>
      <w:r>
        <w:rPr>
          <w:rFonts w:eastAsia="等线" w:ascii="Arial" w:cs="Arial" w:hAnsi="Arial"/>
          <w:sz w:val="22"/>
        </w:rPr>
        <w:t xml:space="preserve">);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--color-text-primary</w:t>
      </w:r>
      <w:r>
        <w:rPr>
          <w:rFonts w:eastAsia="等线" w:ascii="Arial" w:cs="Arial" w:hAnsi="Arial"/>
          <w:sz w:val="22"/>
        </w:rPr>
        <w:t>); }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表格样式（白底黑字，绿色表头）：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CSS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table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width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100%</w:t>
      </w:r>
      <w:r>
        <w:rPr>
          <w:rFonts w:eastAsia="等线" w:ascii="Arial" w:cs="Arial" w:hAnsi="Arial"/>
          <w:sz w:val="22"/>
        </w:rPr>
        <w:t xml:space="preserve">; </w:t>
      </w:r>
      <w:r>
        <w:rPr>
          <w:rFonts w:eastAsia="等线" w:ascii="Arial" w:cs="Arial" w:hAnsi="Arial"/>
          <w:color w:val="d83931"/>
          <w:sz w:val="22"/>
        </w:rPr>
        <w:t>border-collapse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collapse</w:t>
      </w:r>
      <w:r>
        <w:rPr>
          <w:rFonts w:eastAsia="等线" w:ascii="Arial" w:cs="Arial" w:hAnsi="Arial"/>
          <w:sz w:val="22"/>
        </w:rPr>
        <w:t xml:space="preserve">;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#FFFFFF</w:t>
      </w:r>
      <w:r>
        <w:rPr>
          <w:rFonts w:eastAsia="等线" w:ascii="Arial" w:cs="Arial" w:hAnsi="Arial"/>
          <w:sz w:val="22"/>
        </w:rPr>
        <w:t>;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th</w:t>
      </w:r>
      <w:r>
        <w:rPr>
          <w:rFonts w:eastAsia="等线" w:ascii="Arial" w:cs="Arial" w:hAnsi="Arial"/>
          <w:sz w:val="22"/>
        </w:rPr>
        <w:t xml:space="preserve">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--color-primary-light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--color-primary-dark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font-weight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600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padding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10px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ea121"/>
          <w:sz w:val="22"/>
        </w:rPr>
        <w:t>12px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text-align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left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border-bottom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2px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45bdb"/>
          <w:sz w:val="22"/>
        </w:rPr>
        <w:t>solid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--color-primary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td</w:t>
      </w:r>
      <w:r>
        <w:rPr>
          <w:rFonts w:eastAsia="等线" w:ascii="Arial" w:cs="Arial" w:hAnsi="Arial"/>
          <w:sz w:val="22"/>
        </w:rPr>
        <w:t xml:space="preserve">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padding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10px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ea121"/>
          <w:sz w:val="22"/>
        </w:rPr>
        <w:t>12px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border-bottom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1px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45bdb"/>
          <w:sz w:val="22"/>
        </w:rPr>
        <w:t>solid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--color-border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--color-text-secondary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tr:hover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83931"/>
          <w:sz w:val="22"/>
        </w:rPr>
        <w:t>td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--color-primary-bg</w:t>
      </w:r>
      <w:r>
        <w:rPr>
          <w:rFonts w:eastAsia="等线" w:ascii="Arial" w:cs="Arial" w:hAnsi="Arial"/>
          <w:sz w:val="22"/>
        </w:rPr>
        <w:t>); }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输入框：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CSS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input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color w:val="d83931"/>
          <w:sz w:val="22"/>
        </w:rPr>
        <w:t>select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color w:val="d83931"/>
          <w:sz w:val="22"/>
        </w:rPr>
        <w:t>textarea</w:t>
      </w:r>
      <w:r>
        <w:rPr>
          <w:rFonts w:eastAsia="等线" w:ascii="Arial" w:cs="Arial" w:hAnsi="Arial"/>
          <w:sz w:val="22"/>
        </w:rPr>
        <w:t xml:space="preserve">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#FFFFFF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border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1px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45bdb"/>
          <w:sz w:val="22"/>
        </w:rPr>
        <w:t>solid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--color-border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border-radius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--radius-sm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padding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8px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ea121"/>
          <w:sz w:val="22"/>
        </w:rPr>
        <w:t>12px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font-size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14px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--color-text-primary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transition</w:t>
      </w:r>
      <w:r>
        <w:rPr>
          <w:rFonts w:eastAsia="等线" w:ascii="Arial" w:cs="Arial" w:hAnsi="Arial"/>
          <w:sz w:val="22"/>
        </w:rPr>
        <w:t xml:space="preserve">: border-color </w:t>
      </w:r>
      <w:r>
        <w:rPr>
          <w:rFonts w:eastAsia="等线" w:ascii="Arial" w:cs="Arial" w:hAnsi="Arial"/>
          <w:color w:val="2ea121"/>
          <w:sz w:val="22"/>
        </w:rPr>
        <w:t>0.2s</w:t>
      </w:r>
      <w:r>
        <w:rPr>
          <w:rFonts w:eastAsia="等线" w:ascii="Arial" w:cs="Arial" w:hAnsi="Arial"/>
          <w:sz w:val="22"/>
        </w:rPr>
        <w:t xml:space="preserve">, box-shadow </w:t>
      </w:r>
      <w:r>
        <w:rPr>
          <w:rFonts w:eastAsia="等线" w:ascii="Arial" w:cs="Arial" w:hAnsi="Arial"/>
          <w:color w:val="2ea121"/>
          <w:sz w:val="22"/>
        </w:rPr>
        <w:t>0.2s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input:focus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color w:val="d83931"/>
          <w:sz w:val="22"/>
        </w:rPr>
        <w:t>select:focus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color w:val="d83931"/>
          <w:sz w:val="22"/>
        </w:rPr>
        <w:t>textarea:focus</w:t>
      </w:r>
      <w:r>
        <w:rPr>
          <w:rFonts w:eastAsia="等线" w:ascii="Arial" w:cs="Arial" w:hAnsi="Arial"/>
          <w:sz w:val="22"/>
        </w:rPr>
        <w:t xml:space="preserve">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border-color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--color-primary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box-shadow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0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ea121"/>
          <w:sz w:val="22"/>
        </w:rPr>
        <w:t>0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ea121"/>
          <w:sz w:val="22"/>
        </w:rPr>
        <w:t>0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ea121"/>
          <w:sz w:val="22"/>
        </w:rPr>
        <w:t>3px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de7802"/>
          <w:sz w:val="22"/>
        </w:rPr>
        <w:t>rgba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2ea121"/>
          <w:sz w:val="22"/>
        </w:rPr>
        <w:t>0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color w:val="2ea121"/>
          <w:sz w:val="22"/>
        </w:rPr>
        <w:t>192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color w:val="2ea121"/>
          <w:sz w:val="22"/>
        </w:rPr>
        <w:t>107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color w:val="2ea121"/>
          <w:sz w:val="22"/>
        </w:rPr>
        <w:t>0.15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outline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none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侧边栏导航：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CSS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.sidebar</w:t>
      </w:r>
      <w:r>
        <w:rPr>
          <w:rFonts w:eastAsia="等线" w:ascii="Arial" w:cs="Arial" w:hAnsi="Arial"/>
          <w:sz w:val="22"/>
        </w:rPr>
        <w:t xml:space="preserve">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--color-primary-bg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width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240px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padding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16px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ea121"/>
          <w:sz w:val="22"/>
        </w:rPr>
        <w:t>0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.sidebar-item</w:t>
      </w:r>
      <w:r>
        <w:rPr>
          <w:rFonts w:eastAsia="等线" w:ascii="Arial" w:cs="Arial" w:hAnsi="Arial"/>
          <w:sz w:val="22"/>
        </w:rPr>
        <w:t xml:space="preserve">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padding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10px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ea121"/>
          <w:sz w:val="22"/>
        </w:rPr>
        <w:t>20px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--color-text-secondary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cursor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pointer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transition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all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2ea121"/>
          <w:sz w:val="22"/>
        </w:rPr>
        <w:t>0.2s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.sidebar-item:hover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--color-primary-light</w:t>
      </w:r>
      <w:r>
        <w:rPr>
          <w:rFonts w:eastAsia="等线" w:ascii="Arial" w:cs="Arial" w:hAnsi="Arial"/>
          <w:sz w:val="22"/>
        </w:rPr>
        <w:t xml:space="preserve">);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--color-text-primary</w:t>
      </w:r>
      <w:r>
        <w:rPr>
          <w:rFonts w:eastAsia="等线" w:ascii="Arial" w:cs="Arial" w:hAnsi="Arial"/>
          <w:sz w:val="22"/>
        </w:rPr>
        <w:t>);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.sidebar-item.active</w:t>
      </w:r>
      <w:r>
        <w:rPr>
          <w:rFonts w:eastAsia="等线" w:ascii="Arial" w:cs="Arial" w:hAnsi="Arial"/>
          <w:sz w:val="22"/>
        </w:rPr>
        <w:t xml:space="preserve">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de7802"/>
          <w:sz w:val="22"/>
        </w:rPr>
        <w:t>var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color w:val="6425d0"/>
          <w:sz w:val="22"/>
        </w:rPr>
        <w:t>--color-primary</w:t>
      </w:r>
      <w:r>
        <w:rPr>
          <w:rFonts w:eastAsia="等线" w:ascii="Arial" w:cs="Arial" w:hAnsi="Arial"/>
          <w:sz w:val="22"/>
        </w:rPr>
        <w:t>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#FFFFFF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d83931"/>
          <w:sz w:val="22"/>
        </w:rPr>
        <w:t>font-weight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ea121"/>
          <w:sz w:val="22"/>
        </w:rPr>
        <w:t>600</w:t>
      </w:r>
      <w:r>
        <w:rPr>
          <w:rFonts w:eastAsia="等线" w:ascii="Arial" w:cs="Arial" w:hAnsi="Arial"/>
          <w:sz w:val="22"/>
        </w:rPr>
        <w:t>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元素周期表分类配色（C-04）：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CSS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.element-alkali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#FF6B6B</w:t>
      </w:r>
      <w:r>
        <w:rPr>
          <w:rFonts w:eastAsia="等线" w:ascii="Arial" w:cs="Arial" w:hAnsi="Arial"/>
          <w:sz w:val="22"/>
        </w:rPr>
        <w:t xml:space="preserve">;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#FFFFFF</w:t>
      </w:r>
      <w:r>
        <w:rPr>
          <w:rFonts w:eastAsia="等线" w:ascii="Arial" w:cs="Arial" w:hAnsi="Arial"/>
          <w:sz w:val="22"/>
        </w:rPr>
        <w:t>;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.element-alkaline-earth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#FFA07A</w:t>
      </w:r>
      <w:r>
        <w:rPr>
          <w:rFonts w:eastAsia="等线" w:ascii="Arial" w:cs="Arial" w:hAnsi="Arial"/>
          <w:sz w:val="22"/>
        </w:rPr>
        <w:t xml:space="preserve">;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#FFFFFF</w:t>
      </w:r>
      <w:r>
        <w:rPr>
          <w:rFonts w:eastAsia="等线" w:ascii="Arial" w:cs="Arial" w:hAnsi="Arial"/>
          <w:sz w:val="22"/>
        </w:rPr>
        <w:t>;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.element-transition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#FFD93D</w:t>
      </w:r>
      <w:r>
        <w:rPr>
          <w:rFonts w:eastAsia="等线" w:ascii="Arial" w:cs="Arial" w:hAnsi="Arial"/>
          <w:sz w:val="22"/>
        </w:rPr>
        <w:t xml:space="preserve">;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#1A202C</w:t>
      </w:r>
      <w:r>
        <w:rPr>
          <w:rFonts w:eastAsia="等线" w:ascii="Arial" w:cs="Arial" w:hAnsi="Arial"/>
          <w:sz w:val="22"/>
        </w:rPr>
        <w:t>;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.element-nonmetal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#48BB78</w:t>
      </w:r>
      <w:r>
        <w:rPr>
          <w:rFonts w:eastAsia="等线" w:ascii="Arial" w:cs="Arial" w:hAnsi="Arial"/>
          <w:sz w:val="22"/>
        </w:rPr>
        <w:t xml:space="preserve">;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#FFFFFF</w:t>
      </w:r>
      <w:r>
        <w:rPr>
          <w:rFonts w:eastAsia="等线" w:ascii="Arial" w:cs="Arial" w:hAnsi="Arial"/>
          <w:sz w:val="22"/>
        </w:rPr>
        <w:t>;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.element-halogen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#4D96FF</w:t>
      </w:r>
      <w:r>
        <w:rPr>
          <w:rFonts w:eastAsia="等线" w:ascii="Arial" w:cs="Arial" w:hAnsi="Arial"/>
          <w:sz w:val="22"/>
        </w:rPr>
        <w:t xml:space="preserve">;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#FFFFFF</w:t>
      </w:r>
      <w:r>
        <w:rPr>
          <w:rFonts w:eastAsia="等线" w:ascii="Arial" w:cs="Arial" w:hAnsi="Arial"/>
          <w:sz w:val="22"/>
        </w:rPr>
        <w:t>;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.element-noble-gas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#9B59B6</w:t>
      </w:r>
      <w:r>
        <w:rPr>
          <w:rFonts w:eastAsia="等线" w:ascii="Arial" w:cs="Arial" w:hAnsi="Arial"/>
          <w:sz w:val="22"/>
        </w:rPr>
        <w:t xml:space="preserve">;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#FFFFFF</w:t>
      </w:r>
      <w:r>
        <w:rPr>
          <w:rFonts w:eastAsia="等线" w:ascii="Arial" w:cs="Arial" w:hAnsi="Arial"/>
          <w:sz w:val="22"/>
        </w:rPr>
        <w:t>;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.element-lanthanide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#FFB6C1</w:t>
      </w:r>
      <w:r>
        <w:rPr>
          <w:rFonts w:eastAsia="等线" w:ascii="Arial" w:cs="Arial" w:hAnsi="Arial"/>
          <w:sz w:val="22"/>
        </w:rPr>
        <w:t xml:space="preserve">;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#1A202C</w:t>
      </w:r>
      <w:r>
        <w:rPr>
          <w:rFonts w:eastAsia="等线" w:ascii="Arial" w:cs="Arial" w:hAnsi="Arial"/>
          <w:sz w:val="22"/>
        </w:rPr>
        <w:t>;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.element-actinide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#DDA0DD</w:t>
      </w:r>
      <w:r>
        <w:rPr>
          <w:rFonts w:eastAsia="等线" w:ascii="Arial" w:cs="Arial" w:hAnsi="Arial"/>
          <w:sz w:val="22"/>
        </w:rPr>
        <w:t xml:space="preserve">;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#1A202C</w:t>
      </w:r>
      <w:r>
        <w:rPr>
          <w:rFonts w:eastAsia="等线" w:ascii="Arial" w:cs="Arial" w:hAnsi="Arial"/>
          <w:sz w:val="22"/>
        </w:rPr>
        <w:t>;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.element-metalloid</w:t>
      </w:r>
      <w:r>
        <w:rPr>
          <w:rFonts w:eastAsia="等线" w:ascii="Arial" w:cs="Arial" w:hAnsi="Arial"/>
          <w:sz w:val="22"/>
        </w:rPr>
        <w:t xml:space="preserve"> { </w:t>
      </w:r>
      <w:r>
        <w:rPr>
          <w:rFonts w:eastAsia="等线" w:ascii="Arial" w:cs="Arial" w:hAnsi="Arial"/>
          <w:color w:val="d83931"/>
          <w:sz w:val="22"/>
        </w:rPr>
        <w:t>background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#87CEEB</w:t>
      </w:r>
      <w:r>
        <w:rPr>
          <w:rFonts w:eastAsia="等线" w:ascii="Arial" w:cs="Arial" w:hAnsi="Arial"/>
          <w:sz w:val="22"/>
        </w:rPr>
        <w:t xml:space="preserve">; </w:t>
      </w:r>
      <w:r>
        <w:rPr>
          <w:rFonts w:eastAsia="等线" w:ascii="Arial" w:cs="Arial" w:hAnsi="Arial"/>
          <w:color w:val="d83931"/>
          <w:sz w:val="22"/>
        </w:rPr>
        <w:t>color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等线" w:ascii="Arial" w:cs="Arial" w:hAnsi="Arial"/>
          <w:color w:val="245bdb"/>
          <w:sz w:val="22"/>
        </w:rPr>
        <w:t>#1A202C</w:t>
      </w:r>
      <w:r>
        <w:rPr>
          <w:rFonts w:eastAsia="等线" w:ascii="Arial" w:cs="Arial" w:hAnsi="Arial"/>
          <w:sz w:val="22"/>
        </w:rPr>
        <w:t>; }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---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&gt;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color w:val="6425d0"/>
          <w:sz w:val="22"/>
        </w:rPr>
        <w:t>文档维护说明：</w:t>
      </w:r>
      <w:r>
        <w:rPr>
          <w:rFonts w:eastAsia="等线" w:ascii="Arial" w:cs="Arial" w:hAnsi="Arial"/>
          <w:sz w:val="22"/>
        </w:rPr>
        <w:t xml:space="preserve"> 本文档及关联数据文档构成化学教具产品线的完整需求基线。功能迭代请在此基础上更新版本号，所有修改需经化学教师审核确认。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kcnw8jqlswwm.feishu.cn/wiki/HyKvwclv5iVeOqkaxX4c527EnzR" TargetMode="External" Type="http://schemas.openxmlformats.org/officeDocument/2006/relationships/hyperlink"/><Relationship Id="rId11" Target="https://kcnw8jqlswwm.feishu.cn/wiki/WslcwK9fDiqDl0kiwAPcj3ddnDe" TargetMode="External" Type="http://schemas.openxmlformats.org/officeDocument/2006/relationships/hyperlink"/><Relationship Id="rId12" Target="https://kcnw8jqlswwm.feishu.cn/wiki/GjF8wPeUZiuowjk5MUVc0ieFn3e" TargetMode="External" Type="http://schemas.openxmlformats.org/officeDocument/2006/relationships/hyperlink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kcnw8jqlswwm.feishu.cn/wiki/OkUWwprZMiNn7bk6CmMcLshmnwg" TargetMode="External" Type="http://schemas.openxmlformats.org/officeDocument/2006/relationships/hyperlink"/><Relationship Id="rId5" Target="https://kcnw8jqlswwm.feishu.cn/wiki/T7qswelDxiyaOGkSSkMc8TpJnRg" TargetMode="External" Type="http://schemas.openxmlformats.org/officeDocument/2006/relationships/hyperlink"/><Relationship Id="rId6" Target="https://kcnw8jqlswwm.feishu.cn/wiki/Hfc3wTFnWijYxVkNSX9cL2PWnpb" TargetMode="External" Type="http://schemas.openxmlformats.org/officeDocument/2006/relationships/hyperlink"/><Relationship Id="rId7" Target="https://kcnw8jqlswwm.feishu.cn/wiki/DepUwBRFuibi4pkZjrLc2SO3nse" TargetMode="External" Type="http://schemas.openxmlformats.org/officeDocument/2006/relationships/hyperlink"/><Relationship Id="rId8" Target="https://kcnw8jqlswwm.feishu.cn/wiki/CDQewulFfijxpQkKq6Gc4RtLnFg" TargetMode="External" Type="http://schemas.openxmlformats.org/officeDocument/2006/relationships/hyperlink"/><Relationship Id="rId9" Target="https://kcnw8jqlswwm.feishu.cn/wiki/SyUBwpzTAinvoSkJwgYcDpFFn9e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2026-03-11T08:59:16Z</dcterms:created>
  <dc:creator>Apache POI</dc:creator>
</cp:coreProperties>
</file>