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C-07 化学反应速率与平衡模拟器 — 反应平衡数据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关联模块：</w:t>
      </w:r>
      <w:r>
        <w:rPr>
          <w:rFonts w:eastAsia="等线" w:ascii="Arial" w:cs="Arial" w:hAnsi="Arial"/>
          <w:sz w:val="22"/>
        </w:rPr>
        <w:t xml:space="preserve"> C-07 化学反应速率与平衡模拟器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数据用途：</w:t>
      </w:r>
      <w:r>
        <w:rPr>
          <w:rFonts w:eastAsia="等线" w:ascii="Arial" w:cs="Arial" w:hAnsi="Arial"/>
          <w:sz w:val="22"/>
        </w:rPr>
        <w:t xml:space="preserve"> 反应热力学参数、速率参数、平衡常数数据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 ｜ 2026-03-08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数据来源：</w:t>
      </w:r>
      <w:r>
        <w:rPr>
          <w:rFonts w:eastAsia="等线" w:ascii="Arial" w:cs="Arial" w:hAnsi="Arial"/>
          <w:sz w:val="22"/>
        </w:rPr>
        <w:t xml:space="preserve"> NIST Chemistry WebBook, CRC Handbook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数据结构说明</w:t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编号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RXN-XXX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name_cn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反应名称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equation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化学方程式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level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delta_H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反应焓变 (kJ/mol)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Kp</w:t>
            </w:r>
            <w:r>
              <w:rPr>
                <w:rFonts w:eastAsia="等线" w:ascii="Arial" w:cs="Arial" w:hAnsi="Arial"/>
                <w:sz w:val="22"/>
              </w:rPr>
              <w:t xml:space="preserve"> /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Kc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平衡常数表达式及数值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rate_factors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array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影响速率的因素演示参数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equilibrium_shift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object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平衡移动演示参数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核心反应体系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RXN-001 合成氨反应（工业核心，高考必考）</w:t>
      </w:r>
      <w:bookmarkEnd w:id="2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N₂(g) + 3H₂(g) ⇌ 2NH₃(g)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-92.4 kJ/mol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放热、气体体积减小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平衡常数随温度变化：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温度(K)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4.4 × 10⁶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× 10³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1.6 × 10¹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1.5 × 10⁻¹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873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× 10⁻³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勒夏特列原理演示：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改变条件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平衡移动方向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动画表现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 N₂ 浓度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反应消耗增加的 N₂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N₂ 柱降低，NH₃ 柱升高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减小 NH₃ 浓度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反应补充减少的 NH₃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 柱先降再缓慢升高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升高温度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逆向（放热反应）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吸热方向抵消温度升高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 柱降低，K 值减小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增大压强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正向（体积减小方向）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向气体体积减小方向移动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总压增大，NH₃ 比例增加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加催化剂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不移动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同时加速正逆反应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达到平衡时间缩短，平衡组成不变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速率-时间曲线参数：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v(正) 初始变化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v(逆) 初始变化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 N₂ 浓度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v(正)=v(逆) 均高于原平衡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升高温度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增大更多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v(正)=v(逆) 均高于原平衡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加催化剂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同比增大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同比增大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v(正)=v(逆) 均高于原平衡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RXN-002 SO₃ 合成反应（工业硫酸）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2SO₂(g) + O₂(g) ⇌ 2SO₃(g)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-198 kJ/mol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催化剂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V₂O₅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放热、气体体积减小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平衡常数：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 × 10⁴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4.9 × 10²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× 10¹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2.5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与合成氨类似的条件分析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工业条件选择：400-500°C（V₂O₅ 催化剂活性温度）、常压（虽高压有利但成本高）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RXN-003 酯化反应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CH₃COOH(l) + C₂H₅OH(l) ⇌ CH₃COOC₂H₅(l) + H₂O(l)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 0 kJ/mol（近似热中性）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催化剂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 H₂SO₄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高中选修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Kc (25°C)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≈ 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液相反应，压强对平衡无影响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浓硫酸同时作催化剂和吸水剂（移走 H₂O 促进正反应）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可逆反应不能进行到底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RXN-004 CO₂ 与碳反应</w:t>
      </w:r>
      <w:bookmarkEnd w:id="5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C(s) + CO₂(g) ⇌ 2CO(g)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+172 kJ/mol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吸热、气体体积增大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升高温度：正向移动（吸热方向）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增大压强：逆向移动（体积减小方向）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固体 C 的浓度不写入平衡常数表达式：Kp = p²(CO) / p(CO₂)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RXN-005 NO₂ 二聚反应</w:t>
      </w:r>
      <w:bookmarkEnd w:id="6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2NO₂(g) ⇌ N₂O₄(g)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-57.2 kJ/mol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反应类型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放热、气体体积减小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平衡常数：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Kp (atm⁻¹)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6.84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1.21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0.016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颜色变化演示：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NO₂ 红棕色，N₂O₄ 无色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温度升高 → 颜色加深（逆向移动，NO₂ 增多）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压强增大 → 先加深后变浅（先浓缩后正向移动）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这是高考经典题型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RXN-006 水的电离</w:t>
      </w:r>
      <w:bookmarkEnd w:id="7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H₂O(l) ⇌ H⁺(aq) + OH⁻(aq)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ΔH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+55.8 kJ/mol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 (25°C)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× 10⁻¹⁴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Kw 随温度变化：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Kw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pH（纯水）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 × 10⁻¹⁵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7.47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 × 10⁻¹⁴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7.00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× 10⁻¹⁴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6.81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5.5 × 10⁻¹⁴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6.63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5.1 × 10⁻¹³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6.14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水的电离是吸热过程，温度升高 Kw 增大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纯水在任何温度下都是中性的（[H⁺] = [OH⁻]），但 pH 不一定等于 7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RXN-007 弱酸电离（醋酸）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CH₃COOH(aq) ⇌ CH₃COO⁻(aq) + H⁺(aq)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Ka (25°C)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1.76 × 10⁻⁵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不同浓度的电离度：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浓度 (mol/L)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电离度 (%)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pH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0.42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2.88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3.38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0.001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12.4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3.91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RXN-008 弱碱电离（氨水）</w:t>
      </w:r>
      <w:bookmarkEnd w:id="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NH₃·H₂O(aq) ⇌ NH₄⁺(aq) + OH⁻(aq)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Kb (25°C)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1.77 × 10⁻⁵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RXN-009 碳酸的分步电离</w:t>
      </w:r>
      <w:bookmarkEnd w:id="1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H₂CO₃ ⇌ H⁺ + HCO₃⁻, Ka1 = 4.3 × 10⁻⁷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第二步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HCO₃⁻ ⇌ H⁺ + CO₃²⁻, Ka2 = 5.6 × 10⁻¹¹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多元弱酸分步电离，每一步的 Ka 逐级减小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以第一步为主（Ka1 &gt;&gt; Ka2）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 NaHCO₃ 溶液呈碱性（水解大于电离）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RXN-010 FeCl₃ 水解</w:t>
      </w:r>
      <w:bookmarkEnd w:id="1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方程式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Fe³⁺ + 3H₂O ⇌ Fe(OH)₃ + 3H⁺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高中必修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教学要点：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盐类水解的典型示例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加热促进水解（吸热过程）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加酸抑制水解，加碱促进水解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FeCl₃ 溶液配制需加盐酸防止水解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反应速率影响因素演示参数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浓度对速率的影响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演示反应：</w:t>
      </w:r>
      <w:r>
        <w:rPr>
          <w:rFonts w:eastAsia="等线" w:ascii="Arial" w:cs="Arial" w:hAnsi="Arial"/>
          <w:sz w:val="22"/>
        </w:rPr>
        <w:t xml:space="preserve"> Na₂S₂O₃ + H₂SO₄ → Na₂SO₄ + S↓ + SO₂↑ + H₂O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Na₂S₂O₃ (mol/L)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H₂SO₄ (mol/L)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相对反应时间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慢（基准）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0.20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温度对速率的影响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演示反应：</w:t>
      </w:r>
      <w:r>
        <w:rPr>
          <w:rFonts w:eastAsia="等线" w:ascii="Arial" w:cs="Arial" w:hAnsi="Arial"/>
          <w:sz w:val="22"/>
        </w:rPr>
        <w:t xml:space="preserve"> 同上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组别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Na₂S₂O₃ (mol/L)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H₂SO₄ (mol/L)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温度(°C)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相对反应时间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慢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很快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范特霍夫规则（简化）：</w:t>
      </w:r>
      <w:r>
        <w:rPr>
          <w:rFonts w:eastAsia="等线" w:ascii="Arial" w:cs="Arial" w:hAnsi="Arial"/>
          <w:sz w:val="22"/>
        </w:rPr>
        <w:t xml:space="preserve"> 温度每升高 10°C，反应速率约增大 2-4 倍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催化剂对速率的影响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演示反应：</w:t>
      </w:r>
      <w:r>
        <w:rPr>
          <w:rFonts w:eastAsia="等线" w:ascii="Arial" w:cs="Arial" w:hAnsi="Arial"/>
          <w:sz w:val="22"/>
        </w:rPr>
        <w:t xml:space="preserve"> 2H₂O₂ → 2H₂O + O₂↑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催化剂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相对速率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无催化剂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1（极慢）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MnO₂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FeCl₃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FeCl₃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肝脏研磨液（过氧化氢酶）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生物酶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~100000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动画要素：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活化能曲线对比（有/无催化剂）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气泡生成速率可视对比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图表数据格式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浓度-时间曲线数据格式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工程师绘制 c-t 图时使用以下 JSON 结构：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"reaction": "N₂ + 3H₂ ⇌ 2NH₃",</w:t>
              <w:br/>
              <w:t xml:space="preserve">  "initial": { "N2": 1.0, "H2": 3.0, "NH3": 0 },</w:t>
              <w:br/>
              <w:t xml:space="preserve">  "equilibrium": { "N2": 0.5, "H2": 1.5, "NH3": 1.0 },</w:t>
              <w:br/>
              <w:t xml:space="preserve">  "time_to_equilibrium": 100,</w:t>
              <w:br/>
              <w:t xml:space="preserve">  "curves": [</w:t>
              <w:br/>
              <w:t xml:space="preserve">    { "species": "N₂", "color": "#3182CE", "type": "reactant" },</w:t>
              <w:br/>
              <w:t xml:space="preserve">    { "species": "H₂", "color": "#E53E3E", "type": "reactant" },</w:t>
              <w:br/>
              <w:t xml:space="preserve">    { "species": "NH₃", "color": "#00C06B", "type": "product" }</w:t>
              <w:br/>
              <w:t xml:space="preserve">  ]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速率-时间曲线数据格式</w:t>
      </w:r>
      <w:bookmarkEnd w:id="1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"reaction": "N₂ + 3H₂ ⇌ 2NH₃",</w:t>
              <w:br/>
              <w:t xml:space="preserve">  "perturbation": "increase_N2_concentration",</w:t>
              <w:br/>
              <w:t xml:space="preserve">  "v_forward_before": 1.0,</w:t>
              <w:br/>
              <w:t xml:space="preserve">  "v_reverse_before": 1.0,</w:t>
              <w:br/>
              <w:t xml:space="preserve">  "v_forward_after_perturbation": 1.8,</w:t>
              <w:br/>
              <w:t xml:space="preserve">  "v_reverse_after_perturbation": 1.0,</w:t>
              <w:br/>
              <w:t xml:space="preserve">  "v_new_equilibrium": 1.3,</w:t>
              <w:br/>
              <w:t xml:space="preserve">  "time_to_new_equilibrium": 80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等效平衡判断规则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高考高频考点，工程师实现"等效平衡判断器"时参考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恒温恒容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各物质的初始量换算到方程式同一侧后，与原平衡相同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N₂+3H₂⇌2NH₃：(1,3,0) 与 (0,0,2) 等效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恒温恒压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各物质的初始量之比换算到同一侧后，与原平衡成比例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上述反应中等比例缩放即等效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等效≠等同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等效平衡只是平衡组成比例相同，各物质浓度可能不同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—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&gt; </w:t>
      </w:r>
      <w:r>
        <w:rPr>
          <w:rFonts w:eastAsia="等线" w:ascii="Arial" w:cs="Arial" w:hAnsi="Arial"/>
          <w:b w:val="true"/>
          <w:sz w:val="22"/>
        </w:rPr>
        <w:t>数据维护说明：</w:t>
      </w:r>
      <w:r>
        <w:rPr>
          <w:rFonts w:eastAsia="等线" w:ascii="Arial" w:cs="Arial" w:hAnsi="Arial"/>
          <w:sz w:val="22"/>
        </w:rPr>
        <w:t xml:space="preserve"> 本文档覆盖高考化学平衡所有核心知识点。平衡常数数据来源于 NIST 和 CRC Handbook，教学参数参考人教版教材实验数据。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7494">
    <w:lvl>
      <w:numFmt w:val="bullet"/>
      <w:suff w:val="tab"/>
      <w:lvlText w:val="•"/>
      <w:rPr>
        <w:color w:val="3370ff"/>
      </w:rPr>
    </w:lvl>
  </w:abstractNum>
  <w:abstractNum w:abstractNumId="927495">
    <w:lvl>
      <w:numFmt w:val="bullet"/>
      <w:suff w:val="tab"/>
      <w:lvlText w:val="•"/>
      <w:rPr>
        <w:color w:val="3370ff"/>
      </w:rPr>
    </w:lvl>
  </w:abstractNum>
  <w:abstractNum w:abstractNumId="927496">
    <w:lvl>
      <w:numFmt w:val="bullet"/>
      <w:suff w:val="tab"/>
      <w:lvlText w:val="•"/>
      <w:rPr>
        <w:color w:val="3370ff"/>
      </w:rPr>
    </w:lvl>
  </w:abstractNum>
  <w:abstractNum w:abstractNumId="927497">
    <w:lvl>
      <w:numFmt w:val="bullet"/>
      <w:suff w:val="tab"/>
      <w:lvlText w:val="•"/>
      <w:rPr>
        <w:color w:val="3370ff"/>
      </w:rPr>
    </w:lvl>
  </w:abstractNum>
  <w:abstractNum w:abstractNumId="927498">
    <w:lvl>
      <w:numFmt w:val="bullet"/>
      <w:suff w:val="tab"/>
      <w:lvlText w:val="•"/>
      <w:rPr>
        <w:color w:val="3370ff"/>
      </w:rPr>
    </w:lvl>
  </w:abstractNum>
  <w:abstractNum w:abstractNumId="927499">
    <w:lvl>
      <w:numFmt w:val="bullet"/>
      <w:suff w:val="tab"/>
      <w:lvlText w:val="•"/>
      <w:rPr>
        <w:color w:val="3370ff"/>
      </w:rPr>
    </w:lvl>
  </w:abstractNum>
  <w:abstractNum w:abstractNumId="927500">
    <w:lvl>
      <w:numFmt w:val="bullet"/>
      <w:suff w:val="tab"/>
      <w:lvlText w:val="•"/>
      <w:rPr>
        <w:color w:val="3370ff"/>
      </w:rPr>
    </w:lvl>
  </w:abstractNum>
  <w:abstractNum w:abstractNumId="927501">
    <w:lvl>
      <w:numFmt w:val="bullet"/>
      <w:suff w:val="tab"/>
      <w:lvlText w:val="•"/>
      <w:rPr>
        <w:color w:val="3370ff"/>
      </w:rPr>
    </w:lvl>
  </w:abstractNum>
  <w:abstractNum w:abstractNumId="927502">
    <w:lvl>
      <w:numFmt w:val="bullet"/>
      <w:suff w:val="tab"/>
      <w:lvlText w:val="•"/>
      <w:rPr>
        <w:color w:val="3370ff"/>
      </w:rPr>
    </w:lvl>
  </w:abstractNum>
  <w:abstractNum w:abstractNumId="927503">
    <w:lvl>
      <w:numFmt w:val="bullet"/>
      <w:suff w:val="tab"/>
      <w:lvlText w:val="•"/>
      <w:rPr>
        <w:color w:val="3370ff"/>
      </w:rPr>
    </w:lvl>
  </w:abstractNum>
  <w:abstractNum w:abstractNumId="927504">
    <w:lvl>
      <w:numFmt w:val="bullet"/>
      <w:suff w:val="tab"/>
      <w:lvlText w:val="•"/>
      <w:rPr>
        <w:color w:val="3370ff"/>
      </w:rPr>
    </w:lvl>
  </w:abstractNum>
  <w:abstractNum w:abstractNumId="927505">
    <w:lvl>
      <w:numFmt w:val="bullet"/>
      <w:suff w:val="tab"/>
      <w:lvlText w:val="•"/>
      <w:rPr>
        <w:color w:val="3370ff"/>
      </w:rPr>
    </w:lvl>
  </w:abstractNum>
  <w:abstractNum w:abstractNumId="927506">
    <w:lvl>
      <w:numFmt w:val="bullet"/>
      <w:suff w:val="tab"/>
      <w:lvlText w:val="•"/>
      <w:rPr>
        <w:color w:val="3370ff"/>
      </w:rPr>
    </w:lvl>
  </w:abstractNum>
  <w:abstractNum w:abstractNumId="927507">
    <w:lvl>
      <w:numFmt w:val="bullet"/>
      <w:suff w:val="tab"/>
      <w:lvlText w:val="•"/>
      <w:rPr>
        <w:color w:val="3370ff"/>
      </w:rPr>
    </w:lvl>
  </w:abstractNum>
  <w:abstractNum w:abstractNumId="927508">
    <w:lvl>
      <w:numFmt w:val="bullet"/>
      <w:suff w:val="tab"/>
      <w:lvlText w:val="•"/>
      <w:rPr>
        <w:color w:val="3370ff"/>
      </w:rPr>
    </w:lvl>
  </w:abstractNum>
  <w:abstractNum w:abstractNumId="927509">
    <w:lvl>
      <w:numFmt w:val="bullet"/>
      <w:suff w:val="tab"/>
      <w:lvlText w:val="•"/>
      <w:rPr>
        <w:color w:val="3370ff"/>
      </w:rPr>
    </w:lvl>
  </w:abstractNum>
  <w:abstractNum w:abstractNumId="927510">
    <w:lvl>
      <w:numFmt w:val="bullet"/>
      <w:suff w:val="tab"/>
      <w:lvlText w:val="•"/>
      <w:rPr>
        <w:color w:val="3370ff"/>
      </w:rPr>
    </w:lvl>
  </w:abstractNum>
  <w:abstractNum w:abstractNumId="927511">
    <w:lvl>
      <w:numFmt w:val="bullet"/>
      <w:suff w:val="tab"/>
      <w:lvlText w:val="•"/>
      <w:rPr>
        <w:color w:val="3370ff"/>
      </w:rPr>
    </w:lvl>
  </w:abstractNum>
  <w:abstractNum w:abstractNumId="927512">
    <w:lvl>
      <w:numFmt w:val="bullet"/>
      <w:suff w:val="tab"/>
      <w:lvlText w:val="•"/>
      <w:rPr>
        <w:color w:val="3370ff"/>
      </w:rPr>
    </w:lvl>
  </w:abstractNum>
  <w:abstractNum w:abstractNumId="927513">
    <w:lvl>
      <w:numFmt w:val="bullet"/>
      <w:suff w:val="tab"/>
      <w:lvlText w:val="•"/>
      <w:rPr>
        <w:color w:val="3370ff"/>
      </w:rPr>
    </w:lvl>
  </w:abstractNum>
  <w:abstractNum w:abstractNumId="927514">
    <w:lvl>
      <w:numFmt w:val="bullet"/>
      <w:suff w:val="tab"/>
      <w:lvlText w:val="•"/>
      <w:rPr>
        <w:color w:val="3370ff"/>
      </w:rPr>
    </w:lvl>
  </w:abstractNum>
  <w:abstractNum w:abstractNumId="927515">
    <w:lvl>
      <w:numFmt w:val="bullet"/>
      <w:suff w:val="tab"/>
      <w:lvlText w:val="•"/>
      <w:rPr>
        <w:color w:val="3370ff"/>
      </w:rPr>
    </w:lvl>
  </w:abstractNum>
  <w:abstractNum w:abstractNumId="927516">
    <w:lvl>
      <w:numFmt w:val="bullet"/>
      <w:suff w:val="tab"/>
      <w:lvlText w:val="•"/>
      <w:rPr>
        <w:color w:val="3370ff"/>
      </w:rPr>
    </w:lvl>
  </w:abstractNum>
  <w:num w:numId="1">
    <w:abstractNumId w:val="927494"/>
  </w:num>
  <w:num w:numId="2">
    <w:abstractNumId w:val="927495"/>
  </w:num>
  <w:num w:numId="3">
    <w:abstractNumId w:val="927496"/>
  </w:num>
  <w:num w:numId="4">
    <w:abstractNumId w:val="927497"/>
  </w:num>
  <w:num w:numId="5">
    <w:abstractNumId w:val="927498"/>
  </w:num>
  <w:num w:numId="6">
    <w:abstractNumId w:val="927499"/>
  </w:num>
  <w:num w:numId="7">
    <w:abstractNumId w:val="927500"/>
  </w:num>
  <w:num w:numId="8">
    <w:abstractNumId w:val="927501"/>
  </w:num>
  <w:num w:numId="9">
    <w:abstractNumId w:val="927502"/>
  </w:num>
  <w:num w:numId="10">
    <w:abstractNumId w:val="927503"/>
  </w:num>
  <w:num w:numId="11">
    <w:abstractNumId w:val="927504"/>
  </w:num>
  <w:num w:numId="12">
    <w:abstractNumId w:val="927505"/>
  </w:num>
  <w:num w:numId="13">
    <w:abstractNumId w:val="927506"/>
  </w:num>
  <w:num w:numId="14">
    <w:abstractNumId w:val="927507"/>
  </w:num>
  <w:num w:numId="15">
    <w:abstractNumId w:val="927508"/>
  </w:num>
  <w:num w:numId="16">
    <w:abstractNumId w:val="927509"/>
  </w:num>
  <w:num w:numId="17">
    <w:abstractNumId w:val="927510"/>
  </w:num>
  <w:num w:numId="18">
    <w:abstractNumId w:val="927511"/>
  </w:num>
  <w:num w:numId="19">
    <w:abstractNumId w:val="927512"/>
  </w:num>
  <w:num w:numId="20">
    <w:abstractNumId w:val="927513"/>
  </w:num>
  <w:num w:numId="21">
    <w:abstractNumId w:val="927514"/>
  </w:num>
  <w:num w:numId="22">
    <w:abstractNumId w:val="927515"/>
  </w:num>
  <w:num w:numId="23">
    <w:abstractNumId w:val="92751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2026-03-11T09:01:49Z</dcterms:created>
  <dc:creator>Apache POI</dc:creator>
</cp:coreProperties>
</file>