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M-06 向量运算演示台 — 演示数据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关联模块：</w:t>
      </w:r>
      <w:r>
        <w:rPr>
          <w:rFonts w:eastAsia="等线" w:ascii="Arial" w:cs="Arial" w:hAnsi="Arial"/>
          <w:sz w:val="22"/>
        </w:rPr>
        <w:t xml:space="preserve"> M-06 向量运算演示台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数据用途：</w:t>
      </w:r>
      <w:r>
        <w:rPr>
          <w:rFonts w:eastAsia="等线" w:ascii="Arial" w:cs="Arial" w:hAnsi="Arial"/>
          <w:sz w:val="22"/>
        </w:rPr>
        <w:t xml:space="preserve"> 预设向量组、运算示例、几何意义演示参数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文档版本：</w:t>
      </w:r>
      <w:r>
        <w:rPr>
          <w:rFonts w:eastAsia="等线" w:ascii="Arial" w:cs="Arial" w:hAnsi="Arial"/>
          <w:sz w:val="22"/>
        </w:rPr>
        <w:t xml:space="preserve"> V1.0 ｜ 2026-03-09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数据来源：</w:t>
      </w:r>
      <w:r>
        <w:rPr>
          <w:rFonts w:eastAsia="等线" w:ascii="Arial" w:cs="Arial" w:hAnsi="Arial"/>
          <w:sz w:val="22"/>
        </w:rPr>
        <w:t xml:space="preserve"> 人教版数学教材（高中必修二/选择性必修一）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数据结构说明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每个演示场景包含以下字段：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编号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VEC-XXX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name_cn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中文名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category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分类（基本运算/数量积/分解/空间向量）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level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dimension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2D 或 3D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vectors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预设向量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operation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运算类型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visual_config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可视化配置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teaching_points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教学要点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2. 基本概念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VEC-001 向量基本要素</w:t>
      </w:r>
      <w:bookmarkEnd w:id="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可视化方式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箭头所指方向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有向线段箭头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 大小（模） | 线段长度 | 标注 \|</w:t>
      </w: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>\|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 起点 | 向量的起始位置 | 圆点标记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 终点 | 向量的结束位置 | 箭头标记 |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特殊向量：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性质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| 零向量 | </w:t>
      </w:r>
      <w:r>
        <w:rPr>
          <w:rFonts w:eastAsia="等线" w:ascii="Arial" w:cs="Arial" w:hAnsi="Arial"/>
          <w:b w:val="true"/>
          <w:sz w:val="22"/>
        </w:rPr>
        <w:t>0</w:t>
      </w:r>
      <w:r>
        <w:rPr>
          <w:rFonts w:eastAsia="等线" w:ascii="Arial" w:cs="Arial" w:hAnsi="Arial"/>
          <w:sz w:val="22"/>
        </w:rPr>
        <w:t xml:space="preserve"> | 模为 0，方向任意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| 单位向量 | </w:t>
      </w:r>
      <w:r>
        <w:rPr>
          <w:rFonts w:eastAsia="等线" w:ascii="Arial" w:cs="Arial" w:hAnsi="Arial"/>
          <w:b w:val="true"/>
          <w:sz w:val="22"/>
        </w:rPr>
        <w:t>e</w:t>
      </w:r>
      <w:r>
        <w:rPr>
          <w:rFonts w:eastAsia="等线" w:ascii="Arial" w:cs="Arial" w:hAnsi="Arial"/>
          <w:sz w:val="22"/>
        </w:rPr>
        <w:t xml:space="preserve"> | 模为 1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| 相等向量 | </w:t>
      </w: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 xml:space="preserve"> = </w:t>
      </w:r>
      <w:r>
        <w:rPr>
          <w:rFonts w:eastAsia="等线" w:ascii="Arial" w:cs="Arial" w:hAnsi="Arial"/>
          <w:b w:val="true"/>
          <w:sz w:val="22"/>
        </w:rPr>
        <w:t>b</w:t>
      </w:r>
      <w:r>
        <w:rPr>
          <w:rFonts w:eastAsia="等线" w:ascii="Arial" w:cs="Arial" w:hAnsi="Arial"/>
          <w:sz w:val="22"/>
        </w:rPr>
        <w:t xml:space="preserve"> | 方向相同、模相等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 相反向量 | -</w:t>
      </w: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 xml:space="preserve"> | 方向相反、模相等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 共线向量 | — | 方向相同或相反（含零向量） |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VEC-002 坐标表示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2D 向量：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表示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形式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| 坐标表示 | </w:t>
      </w: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 xml:space="preserve"> = (x, y)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| 基底表示 | </w:t>
      </w: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 xml:space="preserve"> = x</w:t>
      </w:r>
      <w:r>
        <w:rPr>
          <w:rFonts w:eastAsia="等线" w:ascii="Arial" w:cs="Arial" w:hAnsi="Arial"/>
          <w:b w:val="true"/>
          <w:sz w:val="22"/>
        </w:rPr>
        <w:t>i</w:t>
      </w:r>
      <w:r>
        <w:rPr>
          <w:rFonts w:eastAsia="等线" w:ascii="Arial" w:cs="Arial" w:hAnsi="Arial"/>
          <w:sz w:val="22"/>
        </w:rPr>
        <w:t xml:space="preserve"> + y</w:t>
      </w:r>
      <w:r>
        <w:rPr>
          <w:rFonts w:eastAsia="等线" w:ascii="Arial" w:cs="Arial" w:hAnsi="Arial"/>
          <w:b w:val="true"/>
          <w:sz w:val="22"/>
        </w:rPr>
        <w:t>j</w:t>
      </w:r>
      <w:r>
        <w:rPr>
          <w:rFonts w:eastAsia="等线" w:ascii="Arial" w:cs="Arial" w:hAnsi="Arial"/>
          <w:sz w:val="22"/>
        </w:rPr>
        <w:t xml:space="preserve">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 模 | \|</w:t>
      </w: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>\| = √(x² + y²)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 方向角 | θ = arctan(y/x) |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3D 向量：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表示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形式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| 坐标表示 | </w:t>
      </w: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 xml:space="preserve"> = (x, y, z)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| 基底表示 | </w:t>
      </w: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 xml:space="preserve"> = x</w:t>
      </w:r>
      <w:r>
        <w:rPr>
          <w:rFonts w:eastAsia="等线" w:ascii="Arial" w:cs="Arial" w:hAnsi="Arial"/>
          <w:b w:val="true"/>
          <w:sz w:val="22"/>
        </w:rPr>
        <w:t>i</w:t>
      </w:r>
      <w:r>
        <w:rPr>
          <w:rFonts w:eastAsia="等线" w:ascii="Arial" w:cs="Arial" w:hAnsi="Arial"/>
          <w:sz w:val="22"/>
        </w:rPr>
        <w:t xml:space="preserve"> + y</w:t>
      </w:r>
      <w:r>
        <w:rPr>
          <w:rFonts w:eastAsia="等线" w:ascii="Arial" w:cs="Arial" w:hAnsi="Arial"/>
          <w:b w:val="true"/>
          <w:sz w:val="22"/>
        </w:rPr>
        <w:t>j</w:t>
      </w:r>
      <w:r>
        <w:rPr>
          <w:rFonts w:eastAsia="等线" w:ascii="Arial" w:cs="Arial" w:hAnsi="Arial"/>
          <w:sz w:val="22"/>
        </w:rPr>
        <w:t xml:space="preserve"> + z</w:t>
      </w:r>
      <w:r>
        <w:rPr>
          <w:rFonts w:eastAsia="等线" w:ascii="Arial" w:cs="Arial" w:hAnsi="Arial"/>
          <w:b w:val="true"/>
          <w:sz w:val="22"/>
        </w:rPr>
        <w:t>k</w:t>
      </w:r>
      <w:r>
        <w:rPr>
          <w:rFonts w:eastAsia="等线" w:ascii="Arial" w:cs="Arial" w:hAnsi="Arial"/>
          <w:sz w:val="22"/>
        </w:rPr>
        <w:t xml:space="preserve">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 模 | \|</w:t>
      </w: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>\| = √(x² + y² + z²)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 方向余弦 | cosα = x/\|</w:t>
      </w: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>\|, cosβ = y/\|</w:t>
      </w: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>\|, cosγ = z/\|</w:t>
      </w: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>\| |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3. 向量加法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VEC-011 平行四边形法则</w:t>
      </w:r>
      <w:bookmarkEnd w:id="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基本运算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| 运算 | </w:t>
      </w: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 xml:space="preserve"> + </w:t>
      </w:r>
      <w:r>
        <w:rPr>
          <w:rFonts w:eastAsia="等线" w:ascii="Arial" w:cs="Arial" w:hAnsi="Arial"/>
          <w:b w:val="true"/>
          <w:sz w:val="22"/>
        </w:rPr>
        <w:t>b</w:t>
      </w:r>
      <w:r>
        <w:rPr>
          <w:rFonts w:eastAsia="等线" w:ascii="Arial" w:cs="Arial" w:hAnsi="Arial"/>
          <w:sz w:val="22"/>
        </w:rPr>
        <w:t xml:space="preserve"> |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预设向量组：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| 编号 | </w:t>
      </w: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 xml:space="preserve"> | </w:t>
      </w:r>
      <w:r>
        <w:rPr>
          <w:rFonts w:eastAsia="等线" w:ascii="Arial" w:cs="Arial" w:hAnsi="Arial"/>
          <w:b w:val="true"/>
          <w:sz w:val="22"/>
        </w:rPr>
        <w:t>b</w:t>
      </w:r>
      <w:r>
        <w:rPr>
          <w:rFonts w:eastAsia="等线" w:ascii="Arial" w:cs="Arial" w:hAnsi="Arial"/>
          <w:sz w:val="22"/>
        </w:rPr>
        <w:t xml:space="preserve"> | </w:t>
      </w: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 xml:space="preserve"> + </w:t>
      </w:r>
      <w:r>
        <w:rPr>
          <w:rFonts w:eastAsia="等线" w:ascii="Arial" w:cs="Arial" w:hAnsi="Arial"/>
          <w:b w:val="true"/>
          <w:sz w:val="22"/>
        </w:rPr>
        <w:t>b</w:t>
      </w:r>
      <w:r>
        <w:rPr>
          <w:rFonts w:eastAsia="等线" w:ascii="Arial" w:cs="Arial" w:hAnsi="Arial"/>
          <w:sz w:val="22"/>
        </w:rPr>
        <w:t xml:space="preserve"> | 教学重点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|------|-------|-------|---------------|----------|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 VEC-011-A | (3, 0) | (0, 4) | (3, 4) | 直角情形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 VEC-011-B | (2, 1) | (1, 3) | (3, 4) | 一般情形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 VEC-011-C | (3, 2) | (-1, 2) | (2, 4) | 一个分量为负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 VEC-011-D | (4, 0) | (-4, 0) | (0, 0) | 相反向量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 VEC-011-E | (2, 3) | (2, 3) | (4, 6) | 同向向量 |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可视化：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两个向量从同一起点出发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以两向量为邻边构造平行四边形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对角线即为和向量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动画展示构造过程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向量加法满足交换律和结合律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平行四边形法则适用于两个不共线的向量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共线向量直接首尾相接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VEC-012 三角形法则</w:t>
      </w:r>
      <w:bookmarkEnd w:id="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基本运算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| 运算 | </w:t>
      </w: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 xml:space="preserve"> + </w:t>
      </w:r>
      <w:r>
        <w:rPr>
          <w:rFonts w:eastAsia="等线" w:ascii="Arial" w:cs="Arial" w:hAnsi="Arial"/>
          <w:b w:val="true"/>
          <w:sz w:val="22"/>
        </w:rPr>
        <w:t>b</w:t>
      </w:r>
      <w:r>
        <w:rPr>
          <w:rFonts w:eastAsia="等线" w:ascii="Arial" w:cs="Arial" w:hAnsi="Arial"/>
          <w:sz w:val="22"/>
        </w:rPr>
        <w:t>（首尾相接） |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可视化：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 xml:space="preserve"> 的终点作为 </w:t>
      </w:r>
      <w:r>
        <w:rPr>
          <w:rFonts w:eastAsia="等线" w:ascii="Arial" w:cs="Arial" w:hAnsi="Arial"/>
          <w:b w:val="true"/>
          <w:sz w:val="22"/>
        </w:rPr>
        <w:t>b</w:t>
      </w:r>
      <w:r>
        <w:rPr>
          <w:rFonts w:eastAsia="等线" w:ascii="Arial" w:cs="Arial" w:hAnsi="Arial"/>
          <w:sz w:val="22"/>
        </w:rPr>
        <w:t xml:space="preserve"> 的起点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从 </w:t>
      </w: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 xml:space="preserve"> 的起点到 </w:t>
      </w:r>
      <w:r>
        <w:rPr>
          <w:rFonts w:eastAsia="等线" w:ascii="Arial" w:cs="Arial" w:hAnsi="Arial"/>
          <w:b w:val="true"/>
          <w:sz w:val="22"/>
        </w:rPr>
        <w:t>b</w:t>
      </w:r>
      <w:r>
        <w:rPr>
          <w:rFonts w:eastAsia="等线" w:ascii="Arial" w:cs="Arial" w:hAnsi="Arial"/>
          <w:sz w:val="22"/>
        </w:rPr>
        <w:t xml:space="preserve"> 的终点连线即为 </w:t>
      </w: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 xml:space="preserve"> + </w:t>
      </w:r>
      <w:r>
        <w:rPr>
          <w:rFonts w:eastAsia="等线" w:ascii="Arial" w:cs="Arial" w:hAnsi="Arial"/>
          <w:b w:val="true"/>
          <w:sz w:val="22"/>
        </w:rPr>
        <w:t>b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可拖动向量改变位置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多个向量连续相加的推广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"首尾相接法"适用于任意多个向量求和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向量多边形中，从起点到终点的向量为和向量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封闭多边形的向量和为零向量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4. 向量减法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VEC-021 向量减法</w:t>
      </w:r>
      <w:bookmarkEnd w:id="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基本运算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| 运算 | </w:t>
      </w: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 xml:space="preserve"> - </w:t>
      </w:r>
      <w:r>
        <w:rPr>
          <w:rFonts w:eastAsia="等线" w:ascii="Arial" w:cs="Arial" w:hAnsi="Arial"/>
          <w:b w:val="true"/>
          <w:sz w:val="22"/>
        </w:rPr>
        <w:t>b</w:t>
      </w:r>
      <w:r>
        <w:rPr>
          <w:rFonts w:eastAsia="等线" w:ascii="Arial" w:cs="Arial" w:hAnsi="Arial"/>
          <w:sz w:val="22"/>
        </w:rPr>
        <w:t xml:space="preserve"> = </w:t>
      </w: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 xml:space="preserve"> + (-</w:t>
      </w:r>
      <w:r>
        <w:rPr>
          <w:rFonts w:eastAsia="等线" w:ascii="Arial" w:cs="Arial" w:hAnsi="Arial"/>
          <w:b w:val="true"/>
          <w:sz w:val="22"/>
        </w:rPr>
        <w:t>b</w:t>
      </w:r>
      <w:r>
        <w:rPr>
          <w:rFonts w:eastAsia="等线" w:ascii="Arial" w:cs="Arial" w:hAnsi="Arial"/>
          <w:sz w:val="22"/>
        </w:rPr>
        <w:t>) |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预设向量组：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| 编号 | </w:t>
      </w: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 xml:space="preserve"> | </w:t>
      </w:r>
      <w:r>
        <w:rPr>
          <w:rFonts w:eastAsia="等线" w:ascii="Arial" w:cs="Arial" w:hAnsi="Arial"/>
          <w:b w:val="true"/>
          <w:sz w:val="22"/>
        </w:rPr>
        <w:t>b</w:t>
      </w:r>
      <w:r>
        <w:rPr>
          <w:rFonts w:eastAsia="等线" w:ascii="Arial" w:cs="Arial" w:hAnsi="Arial"/>
          <w:sz w:val="22"/>
        </w:rPr>
        <w:t xml:space="preserve"> | </w:t>
      </w: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 xml:space="preserve"> - </w:t>
      </w:r>
      <w:r>
        <w:rPr>
          <w:rFonts w:eastAsia="等线" w:ascii="Arial" w:cs="Arial" w:hAnsi="Arial"/>
          <w:b w:val="true"/>
          <w:sz w:val="22"/>
        </w:rPr>
        <w:t>b</w:t>
      </w:r>
      <w:r>
        <w:rPr>
          <w:rFonts w:eastAsia="等线" w:ascii="Arial" w:cs="Arial" w:hAnsi="Arial"/>
          <w:sz w:val="22"/>
        </w:rPr>
        <w:t xml:space="preserve"> | 教学重点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|------|-------|-------|---------------|----------|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 VEC-021-A | (4, 3) | (1, 2) | (3, 1) | 基本减法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 VEC-021-B | (3, 0) | (0, 3) | (3, -3) | 直角情形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 VEC-021-C | (2, 3) | (2, 3) | (0, 0) | 相等向量相减 |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可视化：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两个向量从同一起点出发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 xml:space="preserve"> - </w:t>
      </w:r>
      <w:r>
        <w:rPr>
          <w:rFonts w:eastAsia="等线" w:ascii="Arial" w:cs="Arial" w:hAnsi="Arial"/>
          <w:b w:val="true"/>
          <w:sz w:val="22"/>
        </w:rPr>
        <w:t>b</w:t>
      </w:r>
      <w:r>
        <w:rPr>
          <w:rFonts w:eastAsia="等线" w:ascii="Arial" w:cs="Arial" w:hAnsi="Arial"/>
          <w:sz w:val="22"/>
        </w:rPr>
        <w:t xml:space="preserve"> 从 </w:t>
      </w:r>
      <w:r>
        <w:rPr>
          <w:rFonts w:eastAsia="等线" w:ascii="Arial" w:cs="Arial" w:hAnsi="Arial"/>
          <w:b w:val="true"/>
          <w:sz w:val="22"/>
        </w:rPr>
        <w:t>b</w:t>
      </w:r>
      <w:r>
        <w:rPr>
          <w:rFonts w:eastAsia="等线" w:ascii="Arial" w:cs="Arial" w:hAnsi="Arial"/>
          <w:sz w:val="22"/>
        </w:rPr>
        <w:t xml:space="preserve"> 的终点指向 </w:t>
      </w: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 xml:space="preserve"> 的终点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同时显示 -</w:t>
      </w:r>
      <w:r>
        <w:rPr>
          <w:rFonts w:eastAsia="等线" w:ascii="Arial" w:cs="Arial" w:hAnsi="Arial"/>
          <w:b w:val="true"/>
          <w:sz w:val="22"/>
        </w:rPr>
        <w:t>b</w:t>
      </w:r>
      <w:r>
        <w:rPr>
          <w:rFonts w:eastAsia="等线" w:ascii="Arial" w:cs="Arial" w:hAnsi="Arial"/>
          <w:sz w:val="22"/>
        </w:rPr>
        <w:t xml:space="preserve"> 的方向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减法是加法的逆运算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"共起点，连终点，指向被减"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在坐标表示下就是对应坐标相减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5. 数乘向量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VEC-031 数乘运算</w:t>
      </w:r>
      <w:bookmarkEnd w:id="1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基本运算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 运算 | k</w:t>
      </w: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 xml:space="preserve"> |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可调参数：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步长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[-5, 5]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| </w:t>
      </w: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 xml:space="preserve"> | 向量 | (2, 1) | 可拖动 | — |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预设演示场景：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| 编号 | </w:t>
      </w: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 xml:space="preserve"> | k 值序列 | 教学重点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|------|-------|----------|----------|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 VEC-031-A | (2, 1) | k: -2 → -1 → 0 → 1 → 2 → 3 | 数乘的完整变化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 VEC-031-B | (1, 0) | k: 0.5, 1, 2, 3 | 水平方向拉伸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 VEC-031-C | (3, 4) | k: -1 | 反向 |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 &gt; 0：方向不变，模变为 k 倍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 &lt; 0：方向相反，模变为 |k| 倍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 = 0：结果为零向量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向量共线 ⟺ 存在实数 k 使 </w:t>
      </w:r>
      <w:r>
        <w:rPr>
          <w:rFonts w:eastAsia="等线" w:ascii="Arial" w:cs="Arial" w:hAnsi="Arial"/>
          <w:b w:val="true"/>
          <w:sz w:val="22"/>
        </w:rPr>
        <w:t>b</w:t>
      </w:r>
      <w:r>
        <w:rPr>
          <w:rFonts w:eastAsia="等线" w:ascii="Arial" w:cs="Arial" w:hAnsi="Arial"/>
          <w:sz w:val="22"/>
        </w:rPr>
        <w:t xml:space="preserve"> = k</w:t>
      </w: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 xml:space="preserve"> ≠ </w:t>
      </w:r>
      <w:r>
        <w:rPr>
          <w:rFonts w:eastAsia="等线" w:ascii="Arial" w:cs="Arial" w:hAnsi="Arial"/>
          <w:b w:val="true"/>
          <w:sz w:val="22"/>
        </w:rPr>
        <w:t>0</w:t>
      </w:r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6. 数量积（点积）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VEC-041 数量积</w:t>
      </w:r>
      <w:bookmarkEnd w:id="1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数量积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| 运算 | </w:t>
      </w: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 xml:space="preserve"> · </w:t>
      </w:r>
      <w:r>
        <w:rPr>
          <w:rFonts w:eastAsia="等线" w:ascii="Arial" w:cs="Arial" w:hAnsi="Arial"/>
          <w:b w:val="true"/>
          <w:sz w:val="22"/>
        </w:rPr>
        <w:t>b</w:t>
      </w:r>
      <w:r>
        <w:rPr>
          <w:rFonts w:eastAsia="等线" w:ascii="Arial" w:cs="Arial" w:hAnsi="Arial"/>
          <w:sz w:val="22"/>
        </w:rPr>
        <w:t xml:space="preserve"> = \|</w:t>
      </w: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>\|\|</w:t>
      </w:r>
      <w:r>
        <w:rPr>
          <w:rFonts w:eastAsia="等线" w:ascii="Arial" w:cs="Arial" w:hAnsi="Arial"/>
          <w:b w:val="true"/>
          <w:sz w:val="22"/>
        </w:rPr>
        <w:t>b</w:t>
      </w:r>
      <w:r>
        <w:rPr>
          <w:rFonts w:eastAsia="等线" w:ascii="Arial" w:cs="Arial" w:hAnsi="Arial"/>
          <w:sz w:val="22"/>
        </w:rPr>
        <w:t>\|cosθ |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可调参数：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| </w:t>
      </w: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 xml:space="preserve"> | 向量 | (3, 1) | 可拖动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| </w:t>
      </w:r>
      <w:r>
        <w:rPr>
          <w:rFonts w:eastAsia="等线" w:ascii="Arial" w:cs="Arial" w:hAnsi="Arial"/>
          <w:b w:val="true"/>
          <w:sz w:val="22"/>
        </w:rPr>
        <w:t>b</w:t>
      </w:r>
      <w:r>
        <w:rPr>
          <w:rFonts w:eastAsia="等线" w:ascii="Arial" w:cs="Arial" w:hAnsi="Arial"/>
          <w:sz w:val="22"/>
        </w:rPr>
        <w:t xml:space="preserve"> | 向量 | (2, 2) | 可拖动 |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预设向量组：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| 编号 | </w:t>
      </w: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 xml:space="preserve"> | </w:t>
      </w:r>
      <w:r>
        <w:rPr>
          <w:rFonts w:eastAsia="等线" w:ascii="Arial" w:cs="Arial" w:hAnsi="Arial"/>
          <w:b w:val="true"/>
          <w:sz w:val="22"/>
        </w:rPr>
        <w:t>b</w:t>
      </w:r>
      <w:r>
        <w:rPr>
          <w:rFonts w:eastAsia="等线" w:ascii="Arial" w:cs="Arial" w:hAnsi="Arial"/>
          <w:sz w:val="22"/>
        </w:rPr>
        <w:t xml:space="preserve"> | </w:t>
      </w: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 xml:space="preserve"> · </w:t>
      </w:r>
      <w:r>
        <w:rPr>
          <w:rFonts w:eastAsia="等线" w:ascii="Arial" w:cs="Arial" w:hAnsi="Arial"/>
          <w:b w:val="true"/>
          <w:sz w:val="22"/>
        </w:rPr>
        <w:t>b</w:t>
      </w:r>
      <w:r>
        <w:rPr>
          <w:rFonts w:eastAsia="等线" w:ascii="Arial" w:cs="Arial" w:hAnsi="Arial"/>
          <w:sz w:val="22"/>
        </w:rPr>
        <w:t xml:space="preserve"> | θ | 教学重点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|------|-------|-------|---------------|---|----------|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 VEC-041-A | (3, 0) | (0, 4) | 0 | 90° | 垂直情形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 VEC-041-B | (3, 0) | (4, 0) | 12 | 0° | 同向情形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 VEC-041-C | (3, 0) | (-4, 0) | -12 | 180° | 反向情形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 VEC-041-D | (1, 1) | (1, -1) | 0 | 90° | 垂直判断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 VEC-041-E | (3, 4) | (4, 3) | 24 | ≈16.3° | 一般情形 |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可视化：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显示两向量和它们之间的夹角 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显示 </w:t>
      </w: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 xml:space="preserve"> 在 </w:t>
      </w:r>
      <w:r>
        <w:rPr>
          <w:rFonts w:eastAsia="等线" w:ascii="Arial" w:cs="Arial" w:hAnsi="Arial"/>
          <w:b w:val="true"/>
          <w:sz w:val="22"/>
        </w:rPr>
        <w:t>b</w:t>
      </w:r>
      <w:r>
        <w:rPr>
          <w:rFonts w:eastAsia="等线" w:ascii="Arial" w:cs="Arial" w:hAnsi="Arial"/>
          <w:sz w:val="22"/>
        </w:rPr>
        <w:t xml:space="preserve"> 方向上的投影（彩色线段）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实时计算 </w:t>
      </w: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 xml:space="preserve"> · </w:t>
      </w:r>
      <w:r>
        <w:rPr>
          <w:rFonts w:eastAsia="等线" w:ascii="Arial" w:cs="Arial" w:hAnsi="Arial"/>
          <w:b w:val="true"/>
          <w:sz w:val="22"/>
        </w:rPr>
        <w:t>b</w:t>
      </w:r>
      <w:r>
        <w:rPr>
          <w:rFonts w:eastAsia="等线" w:ascii="Arial" w:cs="Arial" w:hAnsi="Arial"/>
          <w:sz w:val="22"/>
        </w:rPr>
        <w:t xml:space="preserve"> 的数值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角度变化时点积值的变化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坐标计算：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公式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| 2D | </w:t>
      </w: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 xml:space="preserve"> · </w:t>
      </w:r>
      <w:r>
        <w:rPr>
          <w:rFonts w:eastAsia="等线" w:ascii="Arial" w:cs="Arial" w:hAnsi="Arial"/>
          <w:b w:val="true"/>
          <w:sz w:val="22"/>
        </w:rPr>
        <w:t>b</w:t>
      </w:r>
      <w:r>
        <w:rPr>
          <w:rFonts w:eastAsia="等线" w:ascii="Arial" w:cs="Arial" w:hAnsi="Arial"/>
          <w:sz w:val="22"/>
        </w:rPr>
        <w:t xml:space="preserve"> = x₁x₂ + y₁y₂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| 3D | </w:t>
      </w: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 xml:space="preserve"> · </w:t>
      </w:r>
      <w:r>
        <w:rPr>
          <w:rFonts w:eastAsia="等线" w:ascii="Arial" w:cs="Arial" w:hAnsi="Arial"/>
          <w:b w:val="true"/>
          <w:sz w:val="22"/>
        </w:rPr>
        <w:t>b</w:t>
      </w:r>
      <w:r>
        <w:rPr>
          <w:rFonts w:eastAsia="等线" w:ascii="Arial" w:cs="Arial" w:hAnsi="Arial"/>
          <w:sz w:val="22"/>
        </w:rPr>
        <w:t xml:space="preserve"> = x₁x₂ + y₁y₂ + z₁z₂ |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数量积的结果是一个数（标量），不是向量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 xml:space="preserve"> · </w:t>
      </w:r>
      <w:r>
        <w:rPr>
          <w:rFonts w:eastAsia="等线" w:ascii="Arial" w:cs="Arial" w:hAnsi="Arial"/>
          <w:b w:val="true"/>
          <w:sz w:val="22"/>
        </w:rPr>
        <w:t>b</w:t>
      </w:r>
      <w:r>
        <w:rPr>
          <w:rFonts w:eastAsia="等线" w:ascii="Arial" w:cs="Arial" w:hAnsi="Arial"/>
          <w:sz w:val="22"/>
        </w:rPr>
        <w:t xml:space="preserve"> = 0 ⟺ </w:t>
      </w: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 xml:space="preserve"> ⊥ </w:t>
      </w:r>
      <w:r>
        <w:rPr>
          <w:rFonts w:eastAsia="等线" w:ascii="Arial" w:cs="Arial" w:hAnsi="Arial"/>
          <w:b w:val="true"/>
          <w:sz w:val="22"/>
        </w:rPr>
        <w:t>b</w:t>
      </w:r>
      <w:r>
        <w:rPr>
          <w:rFonts w:eastAsia="等线" w:ascii="Arial" w:cs="Arial" w:hAnsi="Arial"/>
          <w:sz w:val="22"/>
        </w:rPr>
        <w:t>（非零向量）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投影的几何意义：</w:t>
      </w: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 xml:space="preserve"> 在 </w:t>
      </w:r>
      <w:r>
        <w:rPr>
          <w:rFonts w:eastAsia="等线" w:ascii="Arial" w:cs="Arial" w:hAnsi="Arial"/>
          <w:b w:val="true"/>
          <w:sz w:val="22"/>
        </w:rPr>
        <w:t>b</w:t>
      </w:r>
      <w:r>
        <w:rPr>
          <w:rFonts w:eastAsia="等线" w:ascii="Arial" w:cs="Arial" w:hAnsi="Arial"/>
          <w:sz w:val="22"/>
        </w:rPr>
        <w:t xml:space="preserve"> 上的投影 = </w:t>
      </w: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 xml:space="preserve"> · </w:t>
      </w:r>
      <w:r>
        <w:rPr>
          <w:rFonts w:eastAsia="等线" w:ascii="Arial" w:cs="Arial" w:hAnsi="Arial"/>
          <w:b w:val="true"/>
          <w:sz w:val="22"/>
        </w:rPr>
        <w:t>b</w:t>
      </w:r>
      <w:r>
        <w:rPr>
          <w:rFonts w:eastAsia="等线" w:ascii="Arial" w:cs="Arial" w:hAnsi="Arial"/>
          <w:sz w:val="22"/>
        </w:rPr>
        <w:t xml:space="preserve"> / \|</w:t>
      </w:r>
      <w:r>
        <w:rPr>
          <w:rFonts w:eastAsia="等线" w:ascii="Arial" w:cs="Arial" w:hAnsi="Arial"/>
          <w:b w:val="true"/>
          <w:sz w:val="22"/>
        </w:rPr>
        <w:t>b</w:t>
      </w:r>
      <w:r>
        <w:rPr>
          <w:rFonts w:eastAsia="等线" w:ascii="Arial" w:cs="Arial" w:hAnsi="Arial"/>
          <w:sz w:val="22"/>
        </w:rPr>
        <w:t>\|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求夹角：cosθ = </w:t>
      </w: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 xml:space="preserve"> · </w:t>
      </w:r>
      <w:r>
        <w:rPr>
          <w:rFonts w:eastAsia="等线" w:ascii="Arial" w:cs="Arial" w:hAnsi="Arial"/>
          <w:b w:val="true"/>
          <w:sz w:val="22"/>
        </w:rPr>
        <w:t>b</w:t>
      </w:r>
      <w:r>
        <w:rPr>
          <w:rFonts w:eastAsia="等线" w:ascii="Arial" w:cs="Arial" w:hAnsi="Arial"/>
          <w:sz w:val="22"/>
        </w:rPr>
        <w:t xml:space="preserve"> / (\|</w:t>
      </w: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>\|\|</w:t>
      </w:r>
      <w:r>
        <w:rPr>
          <w:rFonts w:eastAsia="等线" w:ascii="Arial" w:cs="Arial" w:hAnsi="Arial"/>
          <w:b w:val="true"/>
          <w:sz w:val="22"/>
        </w:rPr>
        <w:t>b</w:t>
      </w:r>
      <w:r>
        <w:rPr>
          <w:rFonts w:eastAsia="等线" w:ascii="Arial" w:cs="Arial" w:hAnsi="Arial"/>
          <w:sz w:val="22"/>
        </w:rPr>
        <w:t>\|)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7. 向量分解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VEC-051 基底分解</w:t>
      </w:r>
      <w:bookmarkEnd w:id="1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分解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2D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定理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平面向量基本定理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预设场景：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待分解向量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分解系数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| VEC-051-A | (5, 3) | </w:t>
      </w:r>
      <w:r>
        <w:rPr>
          <w:rFonts w:eastAsia="等线" w:ascii="Arial" w:cs="Arial" w:hAnsi="Arial"/>
          <w:b w:val="true"/>
          <w:sz w:val="22"/>
        </w:rPr>
        <w:t>e₁</w:t>
      </w:r>
      <w:r>
        <w:rPr>
          <w:rFonts w:eastAsia="等线" w:ascii="Arial" w:cs="Arial" w:hAnsi="Arial"/>
          <w:sz w:val="22"/>
        </w:rPr>
        <w:t xml:space="preserve">=(1,0), </w:t>
      </w:r>
      <w:r>
        <w:rPr>
          <w:rFonts w:eastAsia="等线" w:ascii="Arial" w:cs="Arial" w:hAnsi="Arial"/>
          <w:b w:val="true"/>
          <w:sz w:val="22"/>
        </w:rPr>
        <w:t>e₂</w:t>
      </w:r>
      <w:r>
        <w:rPr>
          <w:rFonts w:eastAsia="等线" w:ascii="Arial" w:cs="Arial" w:hAnsi="Arial"/>
          <w:sz w:val="22"/>
        </w:rPr>
        <w:t>=(0,1) | 5</w:t>
      </w:r>
      <w:r>
        <w:rPr>
          <w:rFonts w:eastAsia="等线" w:ascii="Arial" w:cs="Arial" w:hAnsi="Arial"/>
          <w:b w:val="true"/>
          <w:sz w:val="22"/>
        </w:rPr>
        <w:t>e₁</w:t>
      </w:r>
      <w:r>
        <w:rPr>
          <w:rFonts w:eastAsia="等线" w:ascii="Arial" w:cs="Arial" w:hAnsi="Arial"/>
          <w:sz w:val="22"/>
        </w:rPr>
        <w:t xml:space="preserve"> + 3</w:t>
      </w:r>
      <w:r>
        <w:rPr>
          <w:rFonts w:eastAsia="等线" w:ascii="Arial" w:cs="Arial" w:hAnsi="Arial"/>
          <w:b w:val="true"/>
          <w:sz w:val="22"/>
        </w:rPr>
        <w:t>e₂</w:t>
      </w:r>
      <w:r>
        <w:rPr>
          <w:rFonts w:eastAsia="等线" w:ascii="Arial" w:cs="Arial" w:hAnsi="Arial"/>
          <w:sz w:val="22"/>
        </w:rPr>
        <w:t xml:space="preserve">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| VEC-051-B | (5, 3) | </w:t>
      </w:r>
      <w:r>
        <w:rPr>
          <w:rFonts w:eastAsia="等线" w:ascii="Arial" w:cs="Arial" w:hAnsi="Arial"/>
          <w:b w:val="true"/>
          <w:sz w:val="22"/>
        </w:rPr>
        <w:t>e₁</w:t>
      </w:r>
      <w:r>
        <w:rPr>
          <w:rFonts w:eastAsia="等线" w:ascii="Arial" w:cs="Arial" w:hAnsi="Arial"/>
          <w:sz w:val="22"/>
        </w:rPr>
        <w:t xml:space="preserve">=(1,1), </w:t>
      </w:r>
      <w:r>
        <w:rPr>
          <w:rFonts w:eastAsia="等线" w:ascii="Arial" w:cs="Arial" w:hAnsi="Arial"/>
          <w:b w:val="true"/>
          <w:sz w:val="22"/>
        </w:rPr>
        <w:t>e₂</w:t>
      </w:r>
      <w:r>
        <w:rPr>
          <w:rFonts w:eastAsia="等线" w:ascii="Arial" w:cs="Arial" w:hAnsi="Arial"/>
          <w:sz w:val="22"/>
        </w:rPr>
        <w:t>=(1,-1) | 4</w:t>
      </w:r>
      <w:r>
        <w:rPr>
          <w:rFonts w:eastAsia="等线" w:ascii="Arial" w:cs="Arial" w:hAnsi="Arial"/>
          <w:b w:val="true"/>
          <w:sz w:val="22"/>
        </w:rPr>
        <w:t>e₁</w:t>
      </w:r>
      <w:r>
        <w:rPr>
          <w:rFonts w:eastAsia="等线" w:ascii="Arial" w:cs="Arial" w:hAnsi="Arial"/>
          <w:sz w:val="22"/>
        </w:rPr>
        <w:t xml:space="preserve"> + 1</w:t>
      </w:r>
      <w:r>
        <w:rPr>
          <w:rFonts w:eastAsia="等线" w:ascii="Arial" w:cs="Arial" w:hAnsi="Arial"/>
          <w:b w:val="true"/>
          <w:sz w:val="22"/>
        </w:rPr>
        <w:t>e₂</w:t>
      </w:r>
      <w:r>
        <w:rPr>
          <w:rFonts w:eastAsia="等线" w:ascii="Arial" w:cs="Arial" w:hAnsi="Arial"/>
          <w:sz w:val="22"/>
        </w:rPr>
        <w:t xml:space="preserve">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| VEC-051-C | (5, 3) | </w:t>
      </w:r>
      <w:r>
        <w:rPr>
          <w:rFonts w:eastAsia="等线" w:ascii="Arial" w:cs="Arial" w:hAnsi="Arial"/>
          <w:b w:val="true"/>
          <w:sz w:val="22"/>
        </w:rPr>
        <w:t>e₁</w:t>
      </w:r>
      <w:r>
        <w:rPr>
          <w:rFonts w:eastAsia="等线" w:ascii="Arial" w:cs="Arial" w:hAnsi="Arial"/>
          <w:sz w:val="22"/>
        </w:rPr>
        <w:t xml:space="preserve">=(2,1), </w:t>
      </w:r>
      <w:r>
        <w:rPr>
          <w:rFonts w:eastAsia="等线" w:ascii="Arial" w:cs="Arial" w:hAnsi="Arial"/>
          <w:b w:val="true"/>
          <w:sz w:val="22"/>
        </w:rPr>
        <w:t>e₂</w:t>
      </w:r>
      <w:r>
        <w:rPr>
          <w:rFonts w:eastAsia="等线" w:ascii="Arial" w:cs="Arial" w:hAnsi="Arial"/>
          <w:sz w:val="22"/>
        </w:rPr>
        <w:t>=(1,2) | (7/3)</w:t>
      </w:r>
      <w:r>
        <w:rPr>
          <w:rFonts w:eastAsia="等线" w:ascii="Arial" w:cs="Arial" w:hAnsi="Arial"/>
          <w:b w:val="true"/>
          <w:sz w:val="22"/>
        </w:rPr>
        <w:t>e₁</w:t>
      </w:r>
      <w:r>
        <w:rPr>
          <w:rFonts w:eastAsia="等线" w:ascii="Arial" w:cs="Arial" w:hAnsi="Arial"/>
          <w:sz w:val="22"/>
        </w:rPr>
        <w:t xml:space="preserve"> + (1/3)</w:t>
      </w:r>
      <w:r>
        <w:rPr>
          <w:rFonts w:eastAsia="等线" w:ascii="Arial" w:cs="Arial" w:hAnsi="Arial"/>
          <w:b w:val="true"/>
          <w:sz w:val="22"/>
        </w:rPr>
        <w:t>e₂</w:t>
      </w:r>
      <w:r>
        <w:rPr>
          <w:rFonts w:eastAsia="等线" w:ascii="Arial" w:cs="Arial" w:hAnsi="Arial"/>
          <w:sz w:val="22"/>
        </w:rPr>
        <w:t xml:space="preserve"> |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可视化：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显示两个基底向量（不同颜色）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显示待分解向量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沿基底方向画平行四边形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标注分解系数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平面向量基本定理：平面上任意两个不共线向量可以作为基底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任何向量在给定基底下的分解唯一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正交基底（互相垂直的单位向量）最方便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坐标本质上就是在标准正交基底下的分解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8. 空间向量</w:t>
      </w:r>
      <w:bookmarkEnd w:id="15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VEC-061 空间向量基本运算</w:t>
      </w:r>
      <w:bookmarkEnd w:id="1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空间向量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高中选修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预设向量组：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| 编号 | </w:t>
      </w: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 xml:space="preserve"> | </w:t>
      </w:r>
      <w:r>
        <w:rPr>
          <w:rFonts w:eastAsia="等线" w:ascii="Arial" w:cs="Arial" w:hAnsi="Arial"/>
          <w:b w:val="true"/>
          <w:sz w:val="22"/>
        </w:rPr>
        <w:t>b</w:t>
      </w:r>
      <w:r>
        <w:rPr>
          <w:rFonts w:eastAsia="等线" w:ascii="Arial" w:cs="Arial" w:hAnsi="Arial"/>
          <w:sz w:val="22"/>
        </w:rPr>
        <w:t xml:space="preserve"> | 运算 | 结果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|------|-------|-------|------|------|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 VEC-061-A | (1,0,0) | (0,1,0) | 加法 | (1,1,0)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 VEC-061-B | (1,2,3) | (4,5,6) | 点积 | 32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 VEC-061-C | (1,0,0) | (0,1,0) | 叉积 | (0,0,1)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 VEC-061-D | (1,1,1) | (1,-1,0) | 夹角 | arccos(0/...) |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VEC-062 叉积（向量积）</w:t>
      </w:r>
      <w:bookmarkEnd w:id="1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空间向量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高中选修（拓展）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| 运算 | </w:t>
      </w: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 xml:space="preserve"> × </w:t>
      </w:r>
      <w:r>
        <w:rPr>
          <w:rFonts w:eastAsia="等线" w:ascii="Arial" w:cs="Arial" w:hAnsi="Arial"/>
          <w:b w:val="true"/>
          <w:sz w:val="22"/>
        </w:rPr>
        <w:t>b</w:t>
      </w:r>
      <w:r>
        <w:rPr>
          <w:rFonts w:eastAsia="等线" w:ascii="Arial" w:cs="Arial" w:hAnsi="Arial"/>
          <w:sz w:val="22"/>
        </w:rPr>
        <w:t xml:space="preserve"> |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计算公式：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 xml:space="preserve"> × </w:t>
      </w:r>
      <w:r>
        <w:rPr>
          <w:rFonts w:eastAsia="等线" w:ascii="Arial" w:cs="Arial" w:hAnsi="Arial"/>
          <w:b w:val="true"/>
          <w:sz w:val="22"/>
        </w:rPr>
        <w:t>b</w:t>
      </w:r>
      <w:r>
        <w:rPr>
          <w:rFonts w:eastAsia="等线" w:ascii="Arial" w:cs="Arial" w:hAnsi="Arial"/>
          <w:sz w:val="22"/>
        </w:rPr>
        <w:t xml:space="preserve"> = (y₁z₂ - z₁y₂, z₁x₂ - x₁z₂, x₁y₂ - y₁x₂)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预设向量组：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| 编号 | </w:t>
      </w: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 xml:space="preserve"> | </w:t>
      </w:r>
      <w:r>
        <w:rPr>
          <w:rFonts w:eastAsia="等线" w:ascii="Arial" w:cs="Arial" w:hAnsi="Arial"/>
          <w:b w:val="true"/>
          <w:sz w:val="22"/>
        </w:rPr>
        <w:t>b</w:t>
      </w:r>
      <w:r>
        <w:rPr>
          <w:rFonts w:eastAsia="等线" w:ascii="Arial" w:cs="Arial" w:hAnsi="Arial"/>
          <w:sz w:val="22"/>
        </w:rPr>
        <w:t xml:space="preserve"> | </w:t>
      </w: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 xml:space="preserve"> × </w:t>
      </w:r>
      <w:r>
        <w:rPr>
          <w:rFonts w:eastAsia="等线" w:ascii="Arial" w:cs="Arial" w:hAnsi="Arial"/>
          <w:b w:val="true"/>
          <w:sz w:val="22"/>
        </w:rPr>
        <w:t>b</w:t>
      </w:r>
      <w:r>
        <w:rPr>
          <w:rFonts w:eastAsia="等线" w:ascii="Arial" w:cs="Arial" w:hAnsi="Arial"/>
          <w:sz w:val="22"/>
        </w:rPr>
        <w:t xml:space="preserve"> | 几何意义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|------|-------|-------|---------------|----------|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 VEC-062-A | (1,0,0) | (0,1,0) | (0,0,1) | i×j=k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 VEC-062-B | (0,1,0) | (0,0,1) | (1,0,0) | j×k=i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 VEC-062-C | (3,0,0) | (0,4,0) | (0,0,12) | 面积=12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 VEC-062-D | (1,2,3) | (4,5,6) | (-3,6,-3) | 一般情形 |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可视化：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- 3D 坐标系中显示 </w:t>
      </w: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b w:val="true"/>
          <w:sz w:val="22"/>
        </w:rPr>
        <w:t>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叉积向量 </w:t>
      </w: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 xml:space="preserve"> × </w:t>
      </w:r>
      <w:r>
        <w:rPr>
          <w:rFonts w:eastAsia="等线" w:ascii="Arial" w:cs="Arial" w:hAnsi="Arial"/>
          <w:b w:val="true"/>
          <w:sz w:val="22"/>
        </w:rPr>
        <w:t>b</w:t>
      </w:r>
      <w:r>
        <w:rPr>
          <w:rFonts w:eastAsia="等线" w:ascii="Arial" w:cs="Arial" w:hAnsi="Arial"/>
          <w:sz w:val="22"/>
        </w:rPr>
        <w:t xml:space="preserve"> 垂直于 </w:t>
      </w: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b w:val="true"/>
          <w:sz w:val="22"/>
        </w:rPr>
        <w:t>b</w:t>
      </w:r>
      <w:r>
        <w:rPr>
          <w:rFonts w:eastAsia="等线" w:ascii="Arial" w:cs="Arial" w:hAnsi="Arial"/>
          <w:sz w:val="22"/>
        </w:rPr>
        <w:t xml:space="preserve"> 构成的平面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显示平行四边形（面积 = |</w:t>
      </w: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 xml:space="preserve"> × </w:t>
      </w:r>
      <w:r>
        <w:rPr>
          <w:rFonts w:eastAsia="等线" w:ascii="Arial" w:cs="Arial" w:hAnsi="Arial"/>
          <w:b w:val="true"/>
          <w:sz w:val="22"/>
        </w:rPr>
        <w:t>b</w:t>
      </w:r>
      <w:r>
        <w:rPr>
          <w:rFonts w:eastAsia="等线" w:ascii="Arial" w:cs="Arial" w:hAnsi="Arial"/>
          <w:sz w:val="22"/>
        </w:rPr>
        <w:t>|）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叉积结果是向量，垂直于两个原向量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方向由右手定则确定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模等于平行四边形面积：|</w:t>
      </w: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 xml:space="preserve"> × </w:t>
      </w:r>
      <w:r>
        <w:rPr>
          <w:rFonts w:eastAsia="等线" w:ascii="Arial" w:cs="Arial" w:hAnsi="Arial"/>
          <w:b w:val="true"/>
          <w:sz w:val="22"/>
        </w:rPr>
        <w:t>b</w:t>
      </w:r>
      <w:r>
        <w:rPr>
          <w:rFonts w:eastAsia="等线" w:ascii="Arial" w:cs="Arial" w:hAnsi="Arial"/>
          <w:sz w:val="22"/>
        </w:rPr>
        <w:t>| = |</w:t>
      </w: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>||</w:t>
      </w:r>
      <w:r>
        <w:rPr>
          <w:rFonts w:eastAsia="等线" w:ascii="Arial" w:cs="Arial" w:hAnsi="Arial"/>
          <w:b w:val="true"/>
          <w:sz w:val="22"/>
        </w:rPr>
        <w:t>b</w:t>
      </w:r>
      <w:r>
        <w:rPr>
          <w:rFonts w:eastAsia="等线" w:ascii="Arial" w:cs="Arial" w:hAnsi="Arial"/>
          <w:sz w:val="22"/>
        </w:rPr>
        <w:t>|sinθ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 xml:space="preserve"> × </w:t>
      </w:r>
      <w:r>
        <w:rPr>
          <w:rFonts w:eastAsia="等线" w:ascii="Arial" w:cs="Arial" w:hAnsi="Arial"/>
          <w:b w:val="true"/>
          <w:sz w:val="22"/>
        </w:rPr>
        <w:t>b</w:t>
      </w:r>
      <w:r>
        <w:rPr>
          <w:rFonts w:eastAsia="等线" w:ascii="Arial" w:cs="Arial" w:hAnsi="Arial"/>
          <w:sz w:val="22"/>
        </w:rPr>
        <w:t xml:space="preserve"> = </w:t>
      </w:r>
      <w:r>
        <w:rPr>
          <w:rFonts w:eastAsia="等线" w:ascii="Arial" w:cs="Arial" w:hAnsi="Arial"/>
          <w:b w:val="true"/>
          <w:sz w:val="22"/>
        </w:rPr>
        <w:t>0</w:t>
      </w:r>
      <w:r>
        <w:rPr>
          <w:rFonts w:eastAsia="等线" w:ascii="Arial" w:cs="Arial" w:hAnsi="Arial"/>
          <w:sz w:val="22"/>
        </w:rPr>
        <w:t xml:space="preserve"> ⟺ </w:t>
      </w: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 xml:space="preserve"> ∥ </w:t>
      </w:r>
      <w:r>
        <w:rPr>
          <w:rFonts w:eastAsia="等线" w:ascii="Arial" w:cs="Arial" w:hAnsi="Arial"/>
          <w:b w:val="true"/>
          <w:sz w:val="22"/>
        </w:rPr>
        <w:t>b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9. 判断条件</w:t>
      </w:r>
      <w:bookmarkEnd w:id="18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9.1 共线（平行）判断</w:t>
      </w:r>
      <w:bookmarkEnd w:id="1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x₁y₂ - x₂y₁ = 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| 3D | </w:t>
      </w: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 xml:space="preserve"> × </w:t>
      </w:r>
      <w:r>
        <w:rPr>
          <w:rFonts w:eastAsia="等线" w:ascii="Arial" w:cs="Arial" w:hAnsi="Arial"/>
          <w:b w:val="true"/>
          <w:sz w:val="22"/>
        </w:rPr>
        <w:t>b</w:t>
      </w:r>
      <w:r>
        <w:rPr>
          <w:rFonts w:eastAsia="等线" w:ascii="Arial" w:cs="Arial" w:hAnsi="Arial"/>
          <w:sz w:val="22"/>
        </w:rPr>
        <w:t xml:space="preserve"> = </w:t>
      </w:r>
      <w:r>
        <w:rPr>
          <w:rFonts w:eastAsia="等线" w:ascii="Arial" w:cs="Arial" w:hAnsi="Arial"/>
          <w:b w:val="true"/>
          <w:sz w:val="22"/>
        </w:rPr>
        <w:t>0</w:t>
      </w:r>
      <w:r>
        <w:rPr>
          <w:rFonts w:eastAsia="等线" w:ascii="Arial" w:cs="Arial" w:hAnsi="Arial"/>
          <w:sz w:val="22"/>
        </w:rPr>
        <w:t>（即 x₁/x₂ = y₁/y₂ = z₁/z₂）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| 几何 | 存在实数 k 使 </w:t>
      </w:r>
      <w:r>
        <w:rPr>
          <w:rFonts w:eastAsia="等线" w:ascii="Arial" w:cs="Arial" w:hAnsi="Arial"/>
          <w:b w:val="true"/>
          <w:sz w:val="22"/>
        </w:rPr>
        <w:t>b</w:t>
      </w:r>
      <w:r>
        <w:rPr>
          <w:rFonts w:eastAsia="等线" w:ascii="Arial" w:cs="Arial" w:hAnsi="Arial"/>
          <w:sz w:val="22"/>
        </w:rPr>
        <w:t xml:space="preserve"> = k</w:t>
      </w: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 xml:space="preserve"> |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9.2 垂直判断</w:t>
      </w:r>
      <w:bookmarkEnd w:id="2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x₁x₂ + y₁y₂ = 0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x₁x₂ + y₁y₂ + z₁z₂ = 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| 几何 | </w:t>
      </w: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 xml:space="preserve"> · </w:t>
      </w:r>
      <w:r>
        <w:rPr>
          <w:rFonts w:eastAsia="等线" w:ascii="Arial" w:cs="Arial" w:hAnsi="Arial"/>
          <w:b w:val="true"/>
          <w:sz w:val="22"/>
        </w:rPr>
        <w:t>b</w:t>
      </w:r>
      <w:r>
        <w:rPr>
          <w:rFonts w:eastAsia="等线" w:ascii="Arial" w:cs="Arial" w:hAnsi="Arial"/>
          <w:sz w:val="22"/>
        </w:rPr>
        <w:t xml:space="preserve"> = 0 |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9.3 共面判断（3D）</w:t>
      </w:r>
      <w:bookmarkEnd w:id="2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公式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| 三个向量共面 | 混合积 </w:t>
      </w: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 xml:space="preserve"> · (</w:t>
      </w:r>
      <w:r>
        <w:rPr>
          <w:rFonts w:eastAsia="等线" w:ascii="Arial" w:cs="Arial" w:hAnsi="Arial"/>
          <w:b w:val="true"/>
          <w:sz w:val="22"/>
        </w:rPr>
        <w:t>b</w:t>
      </w:r>
      <w:r>
        <w:rPr>
          <w:rFonts w:eastAsia="等线" w:ascii="Arial" w:cs="Arial" w:hAnsi="Arial"/>
          <w:sz w:val="22"/>
        </w:rPr>
        <w:t xml:space="preserve"> × </w:t>
      </w:r>
      <w:r>
        <w:rPr>
          <w:rFonts w:eastAsia="等线" w:ascii="Arial" w:cs="Arial" w:hAnsi="Arial"/>
          <w:b w:val="true"/>
          <w:sz w:val="22"/>
        </w:rPr>
        <w:t>c</w:t>
      </w:r>
      <w:r>
        <w:rPr>
          <w:rFonts w:eastAsia="等线" w:ascii="Arial" w:cs="Arial" w:hAnsi="Arial"/>
          <w:sz w:val="22"/>
        </w:rPr>
        <w:t>) = 0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 行列式形式 | det[</w:t>
      </w: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等线" w:ascii="Arial" w:cs="Arial" w:hAnsi="Arial"/>
          <w:b w:val="true"/>
          <w:sz w:val="22"/>
        </w:rPr>
        <w:t>b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等线" w:ascii="Arial" w:cs="Arial" w:hAnsi="Arial"/>
          <w:b w:val="true"/>
          <w:sz w:val="22"/>
        </w:rPr>
        <w:t>c</w:t>
      </w:r>
      <w:r>
        <w:rPr>
          <w:rFonts w:eastAsia="等线" w:ascii="Arial" w:cs="Arial" w:hAnsi="Arial"/>
          <w:sz w:val="22"/>
        </w:rPr>
        <w:t>] = 0 |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10. 向量在立体几何中的应用</w:t>
      </w:r>
      <w:bookmarkEnd w:id="22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VEC-071 用向量证明/求解</w:t>
      </w:r>
      <w:bookmarkEnd w:id="2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应用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向量方法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证明线面平行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直线方向向量可以用平面内两个向量线性表示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证明线面垂直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直线方向向量 · 平面内任意向量 = 0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求二面角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两个半平面的法向量的夹角（或补角）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求线面角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直线方向向量与法向量夹角的余角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求异面直线角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两条直线方向向量的夹角（取锐角）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求点到面距离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面上一点到该点的向量在法向量上的投影长度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法向量求法：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设平面法向量 </w:t>
      </w:r>
      <w:r>
        <w:rPr>
          <w:rFonts w:eastAsia="等线" w:ascii="Arial" w:cs="Arial" w:hAnsi="Arial"/>
          <w:b w:val="true"/>
          <w:sz w:val="22"/>
        </w:rPr>
        <w:t>n</w:t>
      </w:r>
      <w:r>
        <w:rPr>
          <w:rFonts w:eastAsia="等线" w:ascii="Arial" w:cs="Arial" w:hAnsi="Arial"/>
          <w:sz w:val="22"/>
        </w:rPr>
        <w:t xml:space="preserve"> = (x, y, z)，取平面内两个不共线向量 </w:t>
      </w: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b w:val="true"/>
          <w:sz w:val="22"/>
        </w:rPr>
        <w:t>b</w:t>
      </w:r>
      <w:r>
        <w:rPr>
          <w:rFonts w:eastAsia="等线" w:ascii="Arial" w:cs="Arial" w:hAnsi="Arial"/>
          <w:sz w:val="22"/>
        </w:rPr>
        <w:t>，解方程组：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n</w:t>
      </w:r>
      <w:r>
        <w:rPr>
          <w:rFonts w:eastAsia="等线" w:ascii="Arial" w:cs="Arial" w:hAnsi="Arial"/>
          <w:sz w:val="22"/>
        </w:rPr>
        <w:t xml:space="preserve"> · </w:t>
      </w: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 xml:space="preserve"> = 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n</w:t>
      </w:r>
      <w:r>
        <w:rPr>
          <w:rFonts w:eastAsia="等线" w:ascii="Arial" w:cs="Arial" w:hAnsi="Arial"/>
          <w:sz w:val="22"/>
        </w:rPr>
        <w:t xml:space="preserve"> · </w:t>
      </w:r>
      <w:r>
        <w:rPr>
          <w:rFonts w:eastAsia="等线" w:ascii="Arial" w:cs="Arial" w:hAnsi="Arial"/>
          <w:b w:val="true"/>
          <w:sz w:val="22"/>
        </w:rPr>
        <w:t>b</w:t>
      </w:r>
      <w:r>
        <w:rPr>
          <w:rFonts w:eastAsia="等线" w:ascii="Arial" w:cs="Arial" w:hAnsi="Arial"/>
          <w:sz w:val="22"/>
        </w:rPr>
        <w:t xml:space="preserve"> = 0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向量法是解决立体几何问题的"万能钥匙"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建系→坐标表示→向量运算→得出结论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法向量在求角和求距离中极为重要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向量法虽然计算量可能较大，但思路统一不易出错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11. 显示参数</w:t>
      </w:r>
      <w:bookmarkEnd w:id="24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11.1 2D 模式</w:t>
      </w:r>
      <w:bookmarkEnd w:id="2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坐标范围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[-8, 8] × [-6, 6]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可缩放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可关闭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向量箭头大小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10px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等比缩放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向量宽度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3px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| 颜色方案 | </w:t>
      </w:r>
      <w:r>
        <w:rPr>
          <w:rFonts w:eastAsia="等线" w:ascii="Arial" w:cs="Arial" w:hAnsi="Arial"/>
          <w:b w:val="true"/>
          <w:sz w:val="22"/>
        </w:rPr>
        <w:t>a</w:t>
      </w:r>
      <w:r>
        <w:rPr>
          <w:rFonts w:eastAsia="等线" w:ascii="Arial" w:cs="Arial" w:hAnsi="Arial"/>
          <w:sz w:val="22"/>
        </w:rPr>
        <w:t xml:space="preserve">: #FF6B6B, </w:t>
      </w:r>
      <w:r>
        <w:rPr>
          <w:rFonts w:eastAsia="等线" w:ascii="Arial" w:cs="Arial" w:hAnsi="Arial"/>
          <w:b w:val="true"/>
          <w:sz w:val="22"/>
        </w:rPr>
        <w:t>b</w:t>
      </w:r>
      <w:r>
        <w:rPr>
          <w:rFonts w:eastAsia="等线" w:ascii="Arial" w:cs="Arial" w:hAnsi="Arial"/>
          <w:sz w:val="22"/>
        </w:rPr>
        <w:t>: #4ECDC4, 和/差: #FFD700 | —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 角度显示 | 弧形标注 | 可切换度/弧度 |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11.2 3D 模式</w:t>
      </w:r>
      <w:bookmarkEnd w:id="2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坐标范围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[-5, 5]³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可缩放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坐标轴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x-红, y-绿, z-蓝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右手系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旋转交互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左键拖动旋转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缩放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滚轮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向量宽度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4px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透视/正交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透视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可切换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数据维护说明：</w:t>
      </w:r>
      <w:r>
        <w:rPr>
          <w:rFonts w:eastAsia="等线" w:ascii="Arial" w:cs="Arial" w:hAnsi="Arial"/>
          <w:sz w:val="22"/>
        </w:rPr>
        <w:t xml:space="preserve"> 本文档包含 M-06 向量运算演示台的全部预设向量数据和运算参考。覆盖 2D 和 3D 两种模式下的向量基本运算、数量积、向量积以及在立体几何中的应用。随产品迭代更新版本号。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35046">
    <w:lvl>
      <w:numFmt w:val="bullet"/>
      <w:suff w:val="tab"/>
      <w:lvlText w:val="•"/>
      <w:rPr>
        <w:color w:val="3370ff"/>
      </w:rPr>
    </w:lvl>
  </w:abstractNum>
  <w:abstractNum w:abstractNumId="735047">
    <w:lvl>
      <w:numFmt w:val="bullet"/>
      <w:suff w:val="tab"/>
      <w:lvlText w:val="•"/>
      <w:rPr>
        <w:color w:val="3370ff"/>
      </w:rPr>
    </w:lvl>
  </w:abstractNum>
  <w:abstractNum w:abstractNumId="735048">
    <w:lvl>
      <w:numFmt w:val="bullet"/>
      <w:suff w:val="tab"/>
      <w:lvlText w:val="•"/>
      <w:rPr>
        <w:color w:val="3370ff"/>
      </w:rPr>
    </w:lvl>
  </w:abstractNum>
  <w:abstractNum w:abstractNumId="735049">
    <w:lvl>
      <w:numFmt w:val="bullet"/>
      <w:suff w:val="tab"/>
      <w:lvlText w:val="•"/>
      <w:rPr>
        <w:color w:val="3370ff"/>
      </w:rPr>
    </w:lvl>
  </w:abstractNum>
  <w:abstractNum w:abstractNumId="735050">
    <w:lvl>
      <w:numFmt w:val="bullet"/>
      <w:suff w:val="tab"/>
      <w:lvlText w:val="•"/>
      <w:rPr>
        <w:color w:val="3370ff"/>
      </w:rPr>
    </w:lvl>
  </w:abstractNum>
  <w:abstractNum w:abstractNumId="735051">
    <w:lvl>
      <w:numFmt w:val="bullet"/>
      <w:suff w:val="tab"/>
      <w:lvlText w:val="•"/>
      <w:rPr>
        <w:color w:val="3370ff"/>
      </w:rPr>
    </w:lvl>
  </w:abstractNum>
  <w:abstractNum w:abstractNumId="735052">
    <w:lvl>
      <w:numFmt w:val="bullet"/>
      <w:suff w:val="tab"/>
      <w:lvlText w:val="•"/>
      <w:rPr>
        <w:color w:val="3370ff"/>
      </w:rPr>
    </w:lvl>
  </w:abstractNum>
  <w:abstractNum w:abstractNumId="735053">
    <w:lvl>
      <w:numFmt w:val="bullet"/>
      <w:suff w:val="tab"/>
      <w:lvlText w:val="•"/>
      <w:rPr>
        <w:color w:val="3370ff"/>
      </w:rPr>
    </w:lvl>
  </w:abstractNum>
  <w:abstractNum w:abstractNumId="735054">
    <w:lvl>
      <w:numFmt w:val="bullet"/>
      <w:suff w:val="tab"/>
      <w:lvlText w:val="•"/>
      <w:rPr>
        <w:color w:val="3370ff"/>
      </w:rPr>
    </w:lvl>
  </w:abstractNum>
  <w:abstractNum w:abstractNumId="735055">
    <w:lvl>
      <w:numFmt w:val="bullet"/>
      <w:suff w:val="tab"/>
      <w:lvlText w:val="•"/>
      <w:rPr>
        <w:color w:val="3370ff"/>
      </w:rPr>
    </w:lvl>
  </w:abstractNum>
  <w:abstractNum w:abstractNumId="735056">
    <w:lvl>
      <w:numFmt w:val="bullet"/>
      <w:suff w:val="tab"/>
      <w:lvlText w:val="•"/>
      <w:rPr>
        <w:color w:val="3370ff"/>
      </w:rPr>
    </w:lvl>
  </w:abstractNum>
  <w:abstractNum w:abstractNumId="735057">
    <w:lvl>
      <w:numFmt w:val="bullet"/>
      <w:suff w:val="tab"/>
      <w:lvlText w:val="•"/>
      <w:rPr>
        <w:color w:val="3370ff"/>
      </w:rPr>
    </w:lvl>
  </w:abstractNum>
  <w:abstractNum w:abstractNumId="735058">
    <w:lvl>
      <w:numFmt w:val="bullet"/>
      <w:suff w:val="tab"/>
      <w:lvlText w:val="•"/>
      <w:rPr>
        <w:color w:val="3370ff"/>
      </w:rPr>
    </w:lvl>
  </w:abstractNum>
  <w:abstractNum w:abstractNumId="735059">
    <w:lvl>
      <w:numFmt w:val="bullet"/>
      <w:suff w:val="tab"/>
      <w:lvlText w:val="•"/>
      <w:rPr>
        <w:color w:val="3370ff"/>
      </w:rPr>
    </w:lvl>
  </w:abstractNum>
  <w:abstractNum w:abstractNumId="735060">
    <w:lvl>
      <w:numFmt w:val="bullet"/>
      <w:suff w:val="tab"/>
      <w:lvlText w:val="•"/>
      <w:rPr>
        <w:color w:val="3370ff"/>
      </w:rPr>
    </w:lvl>
  </w:abstractNum>
  <w:abstractNum w:abstractNumId="735061">
    <w:lvl>
      <w:numFmt w:val="bullet"/>
      <w:suff w:val="tab"/>
      <w:lvlText w:val="•"/>
      <w:rPr>
        <w:color w:val="3370ff"/>
      </w:rPr>
    </w:lvl>
  </w:abstractNum>
  <w:abstractNum w:abstractNumId="735062">
    <w:lvl>
      <w:numFmt w:val="bullet"/>
      <w:suff w:val="tab"/>
      <w:lvlText w:val="•"/>
      <w:rPr>
        <w:color w:val="3370ff"/>
      </w:rPr>
    </w:lvl>
  </w:abstractNum>
  <w:abstractNum w:abstractNumId="735063">
    <w:lvl>
      <w:numFmt w:val="bullet"/>
      <w:suff w:val="tab"/>
      <w:lvlText w:val="•"/>
      <w:rPr>
        <w:color w:val="3370ff"/>
      </w:rPr>
    </w:lvl>
  </w:abstractNum>
  <w:abstractNum w:abstractNumId="735064">
    <w:lvl>
      <w:numFmt w:val="bullet"/>
      <w:suff w:val="tab"/>
      <w:lvlText w:val="•"/>
      <w:rPr>
        <w:color w:val="3370ff"/>
      </w:rPr>
    </w:lvl>
  </w:abstractNum>
  <w:abstractNum w:abstractNumId="735065">
    <w:lvl>
      <w:numFmt w:val="bullet"/>
      <w:suff w:val="tab"/>
      <w:lvlText w:val="•"/>
      <w:rPr>
        <w:color w:val="3370ff"/>
      </w:rPr>
    </w:lvl>
  </w:abstractNum>
  <w:abstractNum w:abstractNumId="735066">
    <w:lvl>
      <w:numFmt w:val="bullet"/>
      <w:suff w:val="tab"/>
      <w:lvlText w:val="•"/>
      <w:rPr>
        <w:color w:val="3370ff"/>
      </w:rPr>
    </w:lvl>
  </w:abstractNum>
  <w:abstractNum w:abstractNumId="735067">
    <w:lvl>
      <w:numFmt w:val="bullet"/>
      <w:suff w:val="tab"/>
      <w:lvlText w:val="•"/>
      <w:rPr>
        <w:color w:val="3370ff"/>
      </w:rPr>
    </w:lvl>
  </w:abstractNum>
  <w:abstractNum w:abstractNumId="735068">
    <w:lvl>
      <w:numFmt w:val="bullet"/>
      <w:suff w:val="tab"/>
      <w:lvlText w:val="•"/>
      <w:rPr>
        <w:color w:val="3370ff"/>
      </w:rPr>
    </w:lvl>
  </w:abstractNum>
  <w:abstractNum w:abstractNumId="735069">
    <w:lvl>
      <w:numFmt w:val="bullet"/>
      <w:suff w:val="tab"/>
      <w:lvlText w:val="•"/>
      <w:rPr>
        <w:color w:val="3370ff"/>
      </w:rPr>
    </w:lvl>
  </w:abstractNum>
  <w:abstractNum w:abstractNumId="735070">
    <w:lvl>
      <w:numFmt w:val="bullet"/>
      <w:suff w:val="tab"/>
      <w:lvlText w:val="•"/>
      <w:rPr>
        <w:color w:val="3370ff"/>
      </w:rPr>
    </w:lvl>
  </w:abstractNum>
  <w:abstractNum w:abstractNumId="735071">
    <w:lvl>
      <w:numFmt w:val="bullet"/>
      <w:suff w:val="tab"/>
      <w:lvlText w:val="•"/>
      <w:rPr>
        <w:color w:val="3370ff"/>
      </w:rPr>
    </w:lvl>
  </w:abstractNum>
  <w:abstractNum w:abstractNumId="735072">
    <w:lvl>
      <w:numFmt w:val="bullet"/>
      <w:suff w:val="tab"/>
      <w:lvlText w:val="•"/>
      <w:rPr>
        <w:color w:val="3370ff"/>
      </w:rPr>
    </w:lvl>
  </w:abstractNum>
  <w:abstractNum w:abstractNumId="735073">
    <w:lvl>
      <w:numFmt w:val="bullet"/>
      <w:suff w:val="tab"/>
      <w:lvlText w:val="•"/>
      <w:rPr>
        <w:color w:val="3370ff"/>
      </w:rPr>
    </w:lvl>
  </w:abstractNum>
  <w:abstractNum w:abstractNumId="735074">
    <w:lvl>
      <w:numFmt w:val="bullet"/>
      <w:suff w:val="tab"/>
      <w:lvlText w:val="•"/>
      <w:rPr>
        <w:color w:val="3370ff"/>
      </w:rPr>
    </w:lvl>
  </w:abstractNum>
  <w:abstractNum w:abstractNumId="735075">
    <w:lvl>
      <w:numFmt w:val="bullet"/>
      <w:suff w:val="tab"/>
      <w:lvlText w:val="•"/>
      <w:rPr>
        <w:color w:val="3370ff"/>
      </w:rPr>
    </w:lvl>
  </w:abstractNum>
  <w:abstractNum w:abstractNumId="735076">
    <w:lvl>
      <w:numFmt w:val="bullet"/>
      <w:suff w:val="tab"/>
      <w:lvlText w:val="•"/>
      <w:rPr>
        <w:color w:val="3370ff"/>
      </w:rPr>
    </w:lvl>
  </w:abstractNum>
  <w:abstractNum w:abstractNumId="735077">
    <w:lvl>
      <w:numFmt w:val="bullet"/>
      <w:suff w:val="tab"/>
      <w:lvlText w:val="•"/>
      <w:rPr>
        <w:color w:val="3370ff"/>
      </w:rPr>
    </w:lvl>
  </w:abstractNum>
  <w:abstractNum w:abstractNumId="735078">
    <w:lvl>
      <w:numFmt w:val="bullet"/>
      <w:suff w:val="tab"/>
      <w:lvlText w:val="•"/>
      <w:rPr>
        <w:color w:val="3370ff"/>
      </w:rPr>
    </w:lvl>
  </w:abstractNum>
  <w:abstractNum w:abstractNumId="735079">
    <w:lvl>
      <w:numFmt w:val="bullet"/>
      <w:suff w:val="tab"/>
      <w:lvlText w:val="•"/>
      <w:rPr>
        <w:color w:val="3370ff"/>
      </w:rPr>
    </w:lvl>
  </w:abstractNum>
  <w:abstractNum w:abstractNumId="735080">
    <w:lvl>
      <w:numFmt w:val="bullet"/>
      <w:suff w:val="tab"/>
      <w:lvlText w:val="•"/>
      <w:rPr>
        <w:color w:val="3370ff"/>
      </w:rPr>
    </w:lvl>
  </w:abstractNum>
  <w:abstractNum w:abstractNumId="735081">
    <w:lvl>
      <w:numFmt w:val="bullet"/>
      <w:suff w:val="tab"/>
      <w:lvlText w:val="•"/>
      <w:rPr>
        <w:color w:val="3370ff"/>
      </w:rPr>
    </w:lvl>
  </w:abstractNum>
  <w:num w:numId="1">
    <w:abstractNumId w:val="735046"/>
  </w:num>
  <w:num w:numId="2">
    <w:abstractNumId w:val="735047"/>
  </w:num>
  <w:num w:numId="3">
    <w:abstractNumId w:val="735048"/>
  </w:num>
  <w:num w:numId="4">
    <w:abstractNumId w:val="735049"/>
  </w:num>
  <w:num w:numId="5">
    <w:abstractNumId w:val="735050"/>
  </w:num>
  <w:num w:numId="6">
    <w:abstractNumId w:val="735051"/>
  </w:num>
  <w:num w:numId="7">
    <w:abstractNumId w:val="735052"/>
  </w:num>
  <w:num w:numId="8">
    <w:abstractNumId w:val="735053"/>
  </w:num>
  <w:num w:numId="9">
    <w:abstractNumId w:val="735054"/>
  </w:num>
  <w:num w:numId="10">
    <w:abstractNumId w:val="735055"/>
  </w:num>
  <w:num w:numId="11">
    <w:abstractNumId w:val="735056"/>
  </w:num>
  <w:num w:numId="12">
    <w:abstractNumId w:val="735057"/>
  </w:num>
  <w:num w:numId="13">
    <w:abstractNumId w:val="735058"/>
  </w:num>
  <w:num w:numId="14">
    <w:abstractNumId w:val="735059"/>
  </w:num>
  <w:num w:numId="15">
    <w:abstractNumId w:val="735060"/>
  </w:num>
  <w:num w:numId="16">
    <w:abstractNumId w:val="735061"/>
  </w:num>
  <w:num w:numId="17">
    <w:abstractNumId w:val="735062"/>
  </w:num>
  <w:num w:numId="18">
    <w:abstractNumId w:val="735063"/>
  </w:num>
  <w:num w:numId="19">
    <w:abstractNumId w:val="735064"/>
  </w:num>
  <w:num w:numId="20">
    <w:abstractNumId w:val="735065"/>
  </w:num>
  <w:num w:numId="21">
    <w:abstractNumId w:val="735066"/>
  </w:num>
  <w:num w:numId="22">
    <w:abstractNumId w:val="735067"/>
  </w:num>
  <w:num w:numId="23">
    <w:abstractNumId w:val="735068"/>
  </w:num>
  <w:num w:numId="24">
    <w:abstractNumId w:val="735069"/>
  </w:num>
  <w:num w:numId="25">
    <w:abstractNumId w:val="735070"/>
  </w:num>
  <w:num w:numId="26">
    <w:abstractNumId w:val="735071"/>
  </w:num>
  <w:num w:numId="27">
    <w:abstractNumId w:val="735072"/>
  </w:num>
  <w:num w:numId="28">
    <w:abstractNumId w:val="735073"/>
  </w:num>
  <w:num w:numId="29">
    <w:abstractNumId w:val="735074"/>
  </w:num>
  <w:num w:numId="30">
    <w:abstractNumId w:val="735075"/>
  </w:num>
  <w:num w:numId="31">
    <w:abstractNumId w:val="735076"/>
  </w:num>
  <w:num w:numId="32">
    <w:abstractNumId w:val="735077"/>
  </w:num>
  <w:num w:numId="33">
    <w:abstractNumId w:val="735078"/>
  </w:num>
  <w:num w:numId="34">
    <w:abstractNumId w:val="735079"/>
  </w:num>
  <w:num w:numId="35">
    <w:abstractNumId w:val="735080"/>
  </w:num>
  <w:num w:numId="36">
    <w:abstractNumId w:val="73508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2026-03-11T08:57:00Z</dcterms:created>
  <dc:creator>Apache POI</dc:creator>
</cp:coreProperties>
</file>