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sz w:val="36"/>
          <w:szCs w:val="36"/>
        </w:rPr>
        <w:t xml:space="preserve">Critical Review Paper</w:t>
      </w:r>
    </w:p>
    <w:p>
      <w:pPr>
        <w:spacing w:after="100"/>
      </w:pPr>
    </w:p>
    <w:p>
      <w:pPr>
        <w:spacing w:after="100"/>
        <w:jc w:val="center"/>
      </w:pPr>
      <w:r>
        <w:rPr>
          <w:rFonts w:ascii="Times New Roman" w:cs="Times New Roman" w:eastAsia="Times New Roman" w:hAnsi="Times New Roman"/>
          <w:i/>
          <w:iCs/>
          <w:sz w:val="26"/>
          <w:szCs w:val="26"/>
        </w:rPr>
        <w:t xml:space="preserve">Impacts of an AI-Based Chatbot on College Students’ After-Class Review,</w:t>
      </w:r>
    </w:p>
    <w:p>
      <w:pPr>
        <w:spacing w:after="100"/>
        <w:jc w:val="center"/>
      </w:pPr>
      <w:r>
        <w:rPr>
          <w:rFonts w:ascii="Times New Roman" w:cs="Times New Roman" w:eastAsia="Times New Roman" w:hAnsi="Times New Roman"/>
          <w:i/>
          <w:iCs/>
          <w:sz w:val="26"/>
          <w:szCs w:val="26"/>
        </w:rPr>
        <w:t xml:space="preserve">Academic Performance, Self-Efficacy, Learning Attitude, and Motivation</w:t>
      </w:r>
    </w:p>
    <w:p>
      <w:pPr>
        <w:spacing w:after="60"/>
        <w:jc w:val="center"/>
      </w:pPr>
      <w:r>
        <w:rPr>
          <w:rFonts w:ascii="Times New Roman" w:cs="Times New Roman" w:eastAsia="Times New Roman" w:hAnsi="Times New Roman"/>
          <w:sz w:val="22"/>
          <w:szCs w:val="22"/>
        </w:rPr>
        <w:t xml:space="preserve">By Yen-Fen Lee, Gwo-Jen Hwang, and Pei-Ying Chen (2022)</w:t>
      </w:r>
    </w:p>
    <w:p>
      <w:pPr>
        <w:spacing w:after="60"/>
        <w:jc w:val="center"/>
      </w:pPr>
      <w:r>
        <w:rPr>
          <w:rFonts w:ascii="Times New Roman" w:cs="Times New Roman" w:eastAsia="Times New Roman" w:hAnsi="Times New Roman"/>
          <w:i/>
          <w:iCs/>
          <w:sz w:val="22"/>
          <w:szCs w:val="22"/>
        </w:rPr>
        <w:t xml:space="preserve">Published in Education Tech Research Dev, 70, 1843–1865</w:t>
      </w:r>
    </w:p>
    <w:p>
      <w:pPr>
        <w:spacing w:before="1200"/>
      </w:pPr>
    </w:p>
    <w:p>
      <w:pPr>
        <w:spacing w:after="60"/>
        <w:jc w:val="center"/>
      </w:pPr>
      <w:r>
        <w:rPr>
          <w:rFonts w:ascii="Times New Roman" w:cs="Times New Roman" w:eastAsia="Times New Roman" w:hAnsi="Times New Roman"/>
          <w:sz w:val="24"/>
          <w:szCs w:val="24"/>
        </w:rPr>
        <w:t xml:space="preserve">Reviewed by:</w:t>
      </w:r>
    </w:p>
    <w:p>
      <w:pPr>
        <w:spacing w:after="60"/>
        <w:jc w:val="center"/>
      </w:pPr>
      <w:r>
        <w:rPr>
          <w:rFonts w:ascii="Times New Roman" w:cs="Times New Roman" w:eastAsia="Times New Roman" w:hAnsi="Times New Roman"/>
          <w:b/>
          <w:bCs/>
          <w:sz w:val="24"/>
          <w:szCs w:val="24"/>
        </w:rPr>
        <w:t xml:space="preserve">Lamin Josephus Kargbo</w:t>
      </w:r>
    </w:p>
    <w:p>
      <w:pPr>
        <w:spacing w:after="60"/>
        <w:jc w:val="center"/>
      </w:pPr>
      <w:r>
        <w:rPr>
          <w:rFonts w:ascii="Times New Roman" w:cs="Times New Roman" w:eastAsia="Times New Roman" w:hAnsi="Times New Roman"/>
          <w:sz w:val="22"/>
          <w:szCs w:val="22"/>
        </w:rPr>
        <w:t xml:space="preserve">MSc Software Engineering</w:t>
      </w:r>
    </w:p>
    <w:p>
      <w:pPr>
        <w:spacing w:after="60"/>
        <w:jc w:val="center"/>
      </w:pPr>
      <w:r>
        <w:rPr>
          <w:rFonts w:ascii="Times New Roman" w:cs="Times New Roman" w:eastAsia="Times New Roman" w:hAnsi="Times New Roman"/>
          <w:sz w:val="22"/>
          <w:szCs w:val="22"/>
        </w:rPr>
        <w:t xml:space="preserve">Nankai University, Tianjin, China</w:t>
      </w:r>
    </w:p>
    <w:p>
      <w:pPr>
        <w:spacing w:after="60"/>
        <w:jc w:val="center"/>
      </w:pPr>
      <w:r>
        <w:rPr>
          <w:rFonts w:ascii="Times New Roman" w:cs="Times New Roman" w:eastAsia="Times New Roman" w:hAnsi="Times New Roman"/>
          <w:sz w:val="22"/>
          <w:szCs w:val="22"/>
        </w:rPr>
        <w:t xml:space="preserve">March 2026</w:t>
      </w:r>
    </w:p>
    <w:p>
      <w:r>
        <w:br w:type="page"/>
      </w:r>
    </w:p>
    <w:p>
      <w:pPr>
        <w:pStyle w:val="Heading1"/>
      </w:pPr>
      <w:r>
        <w:t xml:space="preserve">1. Introduction</w:t>
      </w:r>
    </w:p>
    <w:p>
      <w:pPr>
        <w:spacing w:after="200" w:line="360"/>
        <w:jc w:val="both"/>
      </w:pPr>
      <w:r>
        <w:rPr>
          <w:rFonts w:ascii="Times New Roman" w:cs="Times New Roman" w:eastAsia="Times New Roman" w:hAnsi="Times New Roman"/>
          <w:sz w:val="24"/>
          <w:szCs w:val="24"/>
        </w:rPr>
        <w:t xml:space="preserve">The integration of artificial intelligence into educational practice continues to attract scholarly attention, particularly as institutions seek scalable methods for providing individualized learning support. Among the most promising developments is the deployment of AI-based chatbots to supplement classroom instruction and enhance student engagement outside formal teaching hours. Lee, Hwang, and Chen (2022) contribute to this growing body of literature with a quasi-experimental study investigating whether an AI-based chatbot, embedded within a mobile application, can improve college students’ after-class review outcomes in a public health course at a Taiwanese university. Their study measures four dependent variables—academic performance, self-efficacy, learning attitude, and learning motivation—comparing an experimental group using the chatbot with a control group relying on conventional teacher-student interaction during review sessions.</w:t>
      </w:r>
    </w:p>
    <w:p>
      <w:pPr>
        <w:spacing w:after="200" w:line="360"/>
        <w:jc w:val="both"/>
      </w:pPr>
      <w:r>
        <w:rPr>
          <w:rFonts w:ascii="Times New Roman" w:cs="Times New Roman" w:eastAsia="Times New Roman" w:hAnsi="Times New Roman"/>
          <w:sz w:val="24"/>
          <w:szCs w:val="24"/>
        </w:rPr>
        <w:t xml:space="preserve">This critical review paper examines the study’s theoretical foundations, evaluates the methodology and the technological tool employed, assesses the strength and limitations of the findings, and discusses the broader implications for educational technology research and practice. Given the accelerating interest in AI-driven learning tools across diverse educational contexts, a careful evaluation of studies like this one is essential for understanding both the potential and the constraints of chatbot-assisted pedagogy.</w:t>
      </w:r>
    </w:p>
    <w:p>
      <w:pPr>
        <w:pStyle w:val="Heading1"/>
      </w:pPr>
      <w:r>
        <w:t xml:space="preserve">2. Summary of the Study</w:t>
      </w:r>
    </w:p>
    <w:p>
      <w:pPr>
        <w:pStyle w:val="Heading2"/>
      </w:pPr>
      <w:r>
        <w:t xml:space="preserve">2.1 Research Context and Objectives</w:t>
      </w:r>
    </w:p>
    <w:p>
      <w:pPr>
        <w:spacing w:after="200" w:line="360"/>
        <w:jc w:val="both"/>
      </w:pPr>
      <w:r>
        <w:rPr>
          <w:rFonts w:ascii="Times New Roman" w:cs="Times New Roman" w:eastAsia="Times New Roman" w:hAnsi="Times New Roman"/>
          <w:sz w:val="24"/>
          <w:szCs w:val="24"/>
        </w:rPr>
        <w:t xml:space="preserve">The study is situated within the context of after-class review, a learning phase the authors identify as critical for knowledge retention and consolidation. Drawing on constructivist learning theory, Lee et al. (2022) argue that students need opportunities to actively engage with new content through questioning and feedback, yet many learners—particularly in Asian educational settings—are reluctant to ask questions due to shyness, lack of confidence, or fear of ridicule. The authors further note that instructors often lack the capacity to provide sufficient individualized feedback during or after class. These twin challenges motivate the study’s central proposition: that an AI-based chatbot can serve as an always-available, non-judgmental learning companion that delivers timely, personalized feedback during review sessions.</w:t>
      </w:r>
    </w:p>
    <w:p>
      <w:pPr>
        <w:spacing w:after="200" w:line="360"/>
        <w:jc w:val="both"/>
      </w:pPr>
      <w:r>
        <w:rPr>
          <w:rFonts w:ascii="Times New Roman" w:cs="Times New Roman" w:eastAsia="Times New Roman" w:hAnsi="Times New Roman"/>
          <w:sz w:val="24"/>
          <w:szCs w:val="24"/>
        </w:rPr>
        <w:t xml:space="preserve">The specific chatbot used in the study is the “Disease Stewardship” app, developed by the Taiwan Center for Disease Control and Prevention in collaboration with HTC Corporation. It operates within LINE, a widely used instant messaging platform in Taiwan, and is powered by T-BERT (Taiwan Bidirectional Encoder Representations from Transformers), a natural language processing platform trained for Mandarin and Taiwanese. The chatbot draws on a database covering 91 infectious diseases organized in a decision tree with over 3,600 paths, and it achieves a reported semantic judgment accuracy of 93.7%.</w:t>
      </w:r>
    </w:p>
    <w:p>
      <w:pPr>
        <w:pStyle w:val="Heading2"/>
      </w:pPr>
      <w:r>
        <w:t xml:space="preserve">2.2 Methodology</w:t>
      </w:r>
    </w:p>
    <w:p>
      <w:pPr>
        <w:spacing w:after="200" w:line="360"/>
        <w:jc w:val="both"/>
      </w:pPr>
      <w:r>
        <w:rPr>
          <w:rFonts w:ascii="Times New Roman" w:cs="Times New Roman" w:eastAsia="Times New Roman" w:hAnsi="Times New Roman"/>
          <w:sz w:val="24"/>
          <w:szCs w:val="24"/>
        </w:rPr>
        <w:t xml:space="preserve">The study employed a quasi-experimental design with two intact classes of freshmen enrolled in a healthcare course. The experimental group (n = 18) used the AI chatbot for after-class review, while the control group (n = 20) completed the same review activities through direct interaction with the instructor. Both groups received instruction from the same teacher across a two-week experiment covering infectious disease prevention and dengue fever, with two 50-minute sessions per week.</w:t>
      </w:r>
    </w:p>
    <w:p>
      <w:pPr>
        <w:spacing w:after="200" w:line="360"/>
        <w:jc w:val="both"/>
      </w:pPr>
      <w:r>
        <w:rPr>
          <w:rFonts w:ascii="Times New Roman" w:cs="Times New Roman" w:eastAsia="Times New Roman" w:hAnsi="Times New Roman"/>
          <w:sz w:val="24"/>
          <w:szCs w:val="24"/>
        </w:rPr>
        <w:t xml:space="preserve">Pre- and post-tests measured learning achievement, while validated Likert-scale questionnaires assessed self-efficacy (Pintrich et al., 1991), learning attitude (Hwang et al., 2013), and learning motivation (Wang &amp; Chen, 2010). One-way ANCOVA was used to analyze differences between groups while controlling for pretest scores. Additionally, qualitative data were collected through semi-structured interviews with the 18 experimental group students, with inter-rater reliability confirmed using Cohen’s kappa (0.9).</w:t>
      </w:r>
    </w:p>
    <w:p>
      <w:pPr>
        <w:pStyle w:val="Heading2"/>
      </w:pPr>
      <w:r>
        <w:t xml:space="preserve">2.3 Key Findings</w:t>
      </w:r>
    </w:p>
    <w:p>
      <w:pPr>
        <w:spacing w:after="200" w:line="360"/>
        <w:jc w:val="both"/>
      </w:pPr>
      <w:r>
        <w:rPr>
          <w:rFonts w:ascii="Times New Roman" w:cs="Times New Roman" w:eastAsia="Times New Roman" w:hAnsi="Times New Roman"/>
          <w:sz w:val="24"/>
          <w:szCs w:val="24"/>
        </w:rPr>
        <w:t xml:space="preserve">Across all four dependent variables, the experimental group significantly outperformed the control group. In learning achievement, the chatbot group averaged 66.33 compared to 57.40 for the control group (F = 7.70, p &lt; 0.01, η² = 0.18, large effect). Self-efficacy scores were 4.15 versus 3.61 (F = 9.25, p &lt; 0.01, η² = 0.21, large effect). Learning attitude showed means of 4.36 versus 3.67 (F = 8.60, p &lt; 0.01, η² = 0.19, large effect). Learning motivation was 4.22 versus 3.67 (F = 5.39, p &lt; 0.05, η² = 0.13, medium effect).</w:t>
      </w:r>
    </w:p>
    <w:p>
      <w:pPr>
        <w:spacing w:after="200" w:line="360"/>
        <w:jc w:val="both"/>
      </w:pPr>
      <w:r>
        <w:rPr>
          <w:rFonts w:ascii="Times New Roman" w:cs="Times New Roman" w:eastAsia="Times New Roman" w:hAnsi="Times New Roman"/>
          <w:sz w:val="24"/>
          <w:szCs w:val="24"/>
        </w:rPr>
        <w:t xml:space="preserve">Qualitative analysis of the interviews revealed three main themes: facilitating learning engagement, ubiquitous learning, and personalized learning factors that enhance intrinsic motivation. Students valued the chatbot’s instant responses, the ability to ask questions without embarrassment, and the freedom to review course material anytime and anywhere. Some students also noted limitations, including the chatbot’s inability to handle complex or open-ended questions and occasional unhelpful responses when appropriate keywords were not provided.</w:t>
      </w:r>
    </w:p>
    <w:p>
      <w:pPr>
        <w:pStyle w:val="Heading1"/>
      </w:pPr>
      <w:r>
        <w:t xml:space="preserve">3. Evaluation of the Digital Tool</w:t>
      </w:r>
    </w:p>
    <w:p>
      <w:pPr>
        <w:pStyle w:val="Heading2"/>
      </w:pPr>
      <w:r>
        <w:t xml:space="preserve">3.1 Technical Architecture and Design</w:t>
      </w:r>
    </w:p>
    <w:p>
      <w:pPr>
        <w:spacing w:after="200" w:line="360"/>
        <w:jc w:val="both"/>
      </w:pPr>
      <w:r>
        <w:rPr>
          <w:rFonts w:ascii="Times New Roman" w:cs="Times New Roman" w:eastAsia="Times New Roman" w:hAnsi="Times New Roman"/>
          <w:sz w:val="24"/>
          <w:szCs w:val="24"/>
        </w:rPr>
        <w:t xml:space="preserve">The Disease Stewardship chatbot represents a well-structured application of NLP technology in a domain-specific educational context. Its use of T-BERT, a Transformer-based language model adapted for Mandarin and Taiwanese, is technically sound and reflects an understanding of the linguistic context in which the tool would be deployed. The decision tree architecture with 3,600 paths for 91 infectious diseases suggests a considerable depth of content coverage, and the reported 93.7% semantic accuracy rate is reasonably high for a specialized domain chatbot.</w:t>
      </w:r>
    </w:p>
    <w:p>
      <w:pPr>
        <w:spacing w:after="200" w:line="360"/>
        <w:jc w:val="both"/>
      </w:pPr>
      <w:r>
        <w:rPr>
          <w:rFonts w:ascii="Times New Roman" w:cs="Times New Roman" w:eastAsia="Times New Roman" w:hAnsi="Times New Roman"/>
          <w:sz w:val="24"/>
          <w:szCs w:val="24"/>
        </w:rPr>
        <w:t xml:space="preserve">The integration of the chatbot within LINE is a pragmatic design choice. LINE is already a familiar platform for Taiwanese students, which means the learning tool was embedded within an existing digital habit rather than requiring adoption of an entirely new application. This design decision likely reduced friction and contributed to the positive reception observed in the qualitative data. The five-step learning process—case study, system advice, reflection, refinement, and conclusion—provides a pedagogically structured framework that moves beyond simple question-and-answer exchanges to encourage deeper cognitive engagement.</w:t>
      </w:r>
    </w:p>
    <w:p>
      <w:pPr>
        <w:pStyle w:val="Heading2"/>
      </w:pPr>
      <w:r>
        <w:t xml:space="preserve">3.2 Strengths of the Tool</w:t>
      </w:r>
    </w:p>
    <w:p>
      <w:pPr>
        <w:spacing w:after="200" w:line="360"/>
        <w:jc w:val="both"/>
      </w:pPr>
      <w:r>
        <w:rPr>
          <w:rFonts w:ascii="Times New Roman" w:cs="Times New Roman" w:eastAsia="Times New Roman" w:hAnsi="Times New Roman"/>
          <w:sz w:val="24"/>
          <w:szCs w:val="24"/>
        </w:rPr>
        <w:t xml:space="preserve">Several strengths of the chatbot deserve recognition. First, its availability outside class hours addresses a genuine gap in educational support, particularly for students who hesitate to seek help from instructors. Second, the real-time push notification feature for infectious disease updates adds a dimension of authentic, current information that textbooks cannot provide. Third, the structured worksheet-guided interaction ensures that students do not merely browse the chatbot casually but engage with it through purposeful, curriculum-aligned tasks.</w:t>
      </w:r>
    </w:p>
    <w:p>
      <w:pPr>
        <w:pStyle w:val="Heading2"/>
      </w:pPr>
      <w:r>
        <w:t xml:space="preserve">3.3 Limitations of the Tool</w:t>
      </w:r>
    </w:p>
    <w:p>
      <w:pPr>
        <w:spacing w:after="200" w:line="360"/>
        <w:jc w:val="both"/>
      </w:pPr>
      <w:r>
        <w:rPr>
          <w:rFonts w:ascii="Times New Roman" w:cs="Times New Roman" w:eastAsia="Times New Roman" w:hAnsi="Times New Roman"/>
          <w:sz w:val="24"/>
          <w:szCs w:val="24"/>
        </w:rPr>
        <w:t xml:space="preserve">Despite these strengths, the chatbot has notable limitations that the authors themselves acknowledge. The system struggles with complex or ambiguously phrased questions, sometimes returning unhelpful responses. This constraint is inherent to decision-tree-based systems, which rely on keyword matching rather than genuine comprehension of user intent. In contrast, modern large language models like those based on GPT or more advanced BERT variants can handle a wider range of natural language inputs with greater flexibility. The chatbot’s inability to engage in truly open-ended dialogue limits its capacity to support higher-order thinking skills such as analysis, synthesis, and critical evaluation.</w:t>
      </w:r>
    </w:p>
    <w:p>
      <w:pPr>
        <w:spacing w:after="200" w:line="360"/>
        <w:jc w:val="both"/>
      </w:pPr>
      <w:r>
        <w:rPr>
          <w:rFonts w:ascii="Times New Roman" w:cs="Times New Roman" w:eastAsia="Times New Roman" w:hAnsi="Times New Roman"/>
          <w:sz w:val="24"/>
          <w:szCs w:val="24"/>
        </w:rPr>
        <w:t xml:space="preserve">Additionally, the tool is narrowly scoped to infectious disease content. While this specificity enables depth, it also means the findings may not generalize to chatbots designed for broader educational domains or those requiring more nuanced conversational capabilities. The study does not provide detailed information about how the chatbot handles incorrect or misleading student queries, which is an important consideration for educational tools where reinforcing misconceptions could be harmful.</w:t>
      </w:r>
    </w:p>
    <w:p>
      <w:pPr>
        <w:pStyle w:val="Heading1"/>
      </w:pPr>
      <w:r>
        <w:t xml:space="preserve">4. Evaluation of the Research Methodology</w:t>
      </w:r>
    </w:p>
    <w:p>
      <w:pPr>
        <w:pStyle w:val="Heading2"/>
      </w:pPr>
      <w:r>
        <w:t xml:space="preserve">4.1 Research Design</w:t>
      </w:r>
    </w:p>
    <w:p>
      <w:pPr>
        <w:spacing w:after="200" w:line="360"/>
        <w:jc w:val="both"/>
      </w:pPr>
      <w:r>
        <w:rPr>
          <w:rFonts w:ascii="Times New Roman" w:cs="Times New Roman" w:eastAsia="Times New Roman" w:hAnsi="Times New Roman"/>
          <w:sz w:val="24"/>
          <w:szCs w:val="24"/>
        </w:rPr>
        <w:t xml:space="preserve">The quasi-experimental design is appropriate for the educational setting, where random assignment of individual students to conditions is often impractical. The use of intact classes as experimental and control groups is a common and defensible approach. The study appropriately employs ANCOVA to control for pretest differences, and the authors verify the assumptions of homogeneity of variance and regression coefficients before proceeding with the analysis. The inclusion of both quantitative measures and qualitative interviews represents a mixed-methods approach that strengthens the overall evidence base.</w:t>
      </w:r>
    </w:p>
    <w:p>
      <w:pPr>
        <w:pStyle w:val="Heading2"/>
      </w:pPr>
      <w:r>
        <w:t xml:space="preserve">4.2 Methodological Strengths</w:t>
      </w:r>
    </w:p>
    <w:p>
      <w:pPr>
        <w:spacing w:after="200" w:line="360"/>
        <w:jc w:val="both"/>
      </w:pPr>
      <w:r>
        <w:rPr>
          <w:rFonts w:ascii="Times New Roman" w:cs="Times New Roman" w:eastAsia="Times New Roman" w:hAnsi="Times New Roman"/>
          <w:sz w:val="24"/>
          <w:szCs w:val="24"/>
        </w:rPr>
        <w:t xml:space="preserve">The study demonstrates several methodological strengths. The use of validated instruments for measuring self-efficacy, learning attitude, and motivation lends credibility to the psychometric data. The ANCOVA results are reported with effect sizes, which is a commendable practice that allows readers to assess practical significance beyond statistical significance. The qualitative component, with its systematic coding and inter-rater reliability check, adds depth to the quantitative findings by illuminating the mechanisms through which the chatbot influenced student experiences.</w:t>
      </w:r>
    </w:p>
    <w:p>
      <w:pPr>
        <w:spacing w:after="200" w:line="360"/>
        <w:jc w:val="both"/>
      </w:pPr>
      <w:r>
        <w:rPr>
          <w:rFonts w:ascii="Times New Roman" w:cs="Times New Roman" w:eastAsia="Times New Roman" w:hAnsi="Times New Roman"/>
          <w:sz w:val="24"/>
          <w:szCs w:val="24"/>
        </w:rPr>
        <w:t xml:space="preserve">The consistent instruction by a single teacher who was unaware of the research purpose helps control for instructor effects, reducing a common source of confounding in educational experiments. The structured five-step review process ensures that both groups engaged in comparable learning activities, differing primarily in the medium of support (chatbot versus teacher).</w:t>
      </w:r>
    </w:p>
    <w:p>
      <w:pPr>
        <w:pStyle w:val="Heading2"/>
      </w:pPr>
      <w:r>
        <w:t xml:space="preserve">4.3 Methodological Weaknesses</w:t>
      </w:r>
    </w:p>
    <w:p>
      <w:pPr>
        <w:spacing w:after="200" w:line="360"/>
        <w:jc w:val="both"/>
      </w:pPr>
      <w:r>
        <w:rPr>
          <w:rFonts w:ascii="Times New Roman" w:cs="Times New Roman" w:eastAsia="Times New Roman" w:hAnsi="Times New Roman"/>
          <w:sz w:val="24"/>
          <w:szCs w:val="24"/>
        </w:rPr>
        <w:t xml:space="preserve">However, the study has several methodological weaknesses that temper the strength of its conclusions. The most significant is the small sample size, with only 18 students in the experimental group and 20 in the control group. While the effect sizes are large, the small sample limits statistical power and increases the risk of findings being influenced by individual outliers or group-level characteristics unrelated to the intervention.</w:t>
      </w:r>
    </w:p>
    <w:p>
      <w:pPr>
        <w:spacing w:after="200" w:line="360"/>
        <w:jc w:val="both"/>
      </w:pPr>
      <w:r>
        <w:rPr>
          <w:rFonts w:ascii="Times New Roman" w:cs="Times New Roman" w:eastAsia="Times New Roman" w:hAnsi="Times New Roman"/>
          <w:sz w:val="24"/>
          <w:szCs w:val="24"/>
        </w:rPr>
        <w:t xml:space="preserve">The two-week duration of the experiment is another concern. As the authors acknowledge, this brief exposure makes it difficult to distinguish genuine attitudinal and motivational shifts from novelty effects. Students encountering an AI chatbot for the first time may respond with heightened enthusiasm that fades over longer periods. A longitudinal design would be needed to determine whether the observed improvements are durable.</w:t>
      </w:r>
    </w:p>
    <w:p>
      <w:pPr>
        <w:spacing w:after="200" w:line="360"/>
        <w:jc w:val="both"/>
      </w:pPr>
      <w:r>
        <w:rPr>
          <w:rFonts w:ascii="Times New Roman" w:cs="Times New Roman" w:eastAsia="Times New Roman" w:hAnsi="Times New Roman"/>
          <w:sz w:val="24"/>
          <w:szCs w:val="24"/>
        </w:rPr>
        <w:t xml:space="preserve">There is also a potential confound in the experimental design. The experimental group interacted with a technology-based tool, while the control group interacted with a human teacher. The positive outcomes for the chatbot group may partly reflect students’ general enthusiasm for technology rather than the specific pedagogical value of the chatbot. A more rigorous design might include a third condition using a non-AI digital tool (such as a static FAQ or e-textbook) to isolate the effect of the AI component specifically.</w:t>
      </w:r>
    </w:p>
    <w:p>
      <w:pPr>
        <w:spacing w:after="200" w:line="360"/>
        <w:jc w:val="both"/>
      </w:pPr>
      <w:r>
        <w:rPr>
          <w:rFonts w:ascii="Times New Roman" w:cs="Times New Roman" w:eastAsia="Times New Roman" w:hAnsi="Times New Roman"/>
          <w:sz w:val="24"/>
          <w:szCs w:val="24"/>
        </w:rPr>
        <w:t xml:space="preserve">Furthermore, the study does not report on the demographic equivalence of the two groups beyond gender composition. Variables such as prior technology experience, GPA, or familiarity with public health content could confound the results. The imbalanced gender ratio across groups (the experimental group had 2 males and 16 females, while the control had 6 males and 14 females) is also worth noting, though the authors do not discuss whether this could influence the findings.</w:t>
      </w:r>
    </w:p>
    <w:p>
      <w:pPr>
        <w:pStyle w:val="Heading1"/>
      </w:pPr>
      <w:r>
        <w:t xml:space="preserve">5. Implications for Education</w:t>
      </w:r>
    </w:p>
    <w:p>
      <w:pPr>
        <w:pStyle w:val="Heading2"/>
      </w:pPr>
      <w:r>
        <w:t xml:space="preserve">5.1 Theoretical Implications</w:t>
      </w:r>
    </w:p>
    <w:p>
      <w:pPr>
        <w:spacing w:after="200" w:line="360"/>
        <w:jc w:val="both"/>
      </w:pPr>
      <w:r>
        <w:rPr>
          <w:rFonts w:ascii="Times New Roman" w:cs="Times New Roman" w:eastAsia="Times New Roman" w:hAnsi="Times New Roman"/>
          <w:sz w:val="24"/>
          <w:szCs w:val="24"/>
        </w:rPr>
        <w:t xml:space="preserve">The study contributes to the growing evidence base supporting constructivist applications of AI in education. By demonstrating that a chatbot can facilitate active, self-directed review while providing immediate feedback, the findings align with established principles of formative assessment and retrieval practice. The results reinforce the theoretical proposition that timely, individualized feedback is a key driver of learning outcomes, a view supported by decades of educational psychology research.</w:t>
      </w:r>
    </w:p>
    <w:p>
      <w:pPr>
        <w:spacing w:after="200" w:line="360"/>
        <w:jc w:val="both"/>
      </w:pPr>
      <w:r>
        <w:rPr>
          <w:rFonts w:ascii="Times New Roman" w:cs="Times New Roman" w:eastAsia="Times New Roman" w:hAnsi="Times New Roman"/>
          <w:sz w:val="24"/>
          <w:szCs w:val="24"/>
        </w:rPr>
        <w:t xml:space="preserve">The qualitative findings regarding students feeling “respected” and more willing to engage when interacting with the chatbot are particularly noteworthy. They suggest that AI-mediated learning environments may reduce social-evaluative anxiety, creating a psychologically safer space for questioning and exploration. This has implications for understanding the affective dimensions of human-AI interaction in educational settings.</w:t>
      </w:r>
    </w:p>
    <w:p>
      <w:pPr>
        <w:pStyle w:val="Heading2"/>
      </w:pPr>
      <w:r>
        <w:t xml:space="preserve">5.2 Practical Implications</w:t>
      </w:r>
    </w:p>
    <w:p>
      <w:pPr>
        <w:spacing w:after="200" w:line="360"/>
        <w:jc w:val="both"/>
      </w:pPr>
      <w:r>
        <w:rPr>
          <w:rFonts w:ascii="Times New Roman" w:cs="Times New Roman" w:eastAsia="Times New Roman" w:hAnsi="Times New Roman"/>
          <w:sz w:val="24"/>
          <w:szCs w:val="24"/>
        </w:rPr>
        <w:t xml:space="preserve">For practitioners, the study suggests that AI chatbots can serve as valuable supplementary tools for after-class review, particularly in content-heavy domains where students need to consolidate factual knowledge. The integration of the chatbot within an existing messaging platform (LINE) offers a practical model for deployment that minimizes adoption barriers. Educators considering similar implementations should note the importance of pairing chatbot interactions with structured learning activities, such as the five-step review process used in this study, rather than relying on unguided exploration.</w:t>
      </w:r>
    </w:p>
    <w:p>
      <w:pPr>
        <w:spacing w:after="200" w:line="360"/>
        <w:jc w:val="both"/>
      </w:pPr>
      <w:r>
        <w:rPr>
          <w:rFonts w:ascii="Times New Roman" w:cs="Times New Roman" w:eastAsia="Times New Roman" w:hAnsi="Times New Roman"/>
          <w:sz w:val="24"/>
          <w:szCs w:val="24"/>
        </w:rPr>
        <w:t xml:space="preserve">The study also highlights the importance of managing expectations. Students noted that the chatbot could not handle complex questions, suggesting that instructors should clearly communicate the chatbot’s capabilities and limitations and ensure that human support remains available for questions that exceed the chatbot’s capacity. A hybrid model combining AI-driven immediate feedback with periodic instructor-led review sessions may represent the most effective approach.</w:t>
      </w:r>
    </w:p>
    <w:p>
      <w:pPr>
        <w:pStyle w:val="Heading2"/>
      </w:pPr>
      <w:r>
        <w:t xml:space="preserve">5.3 Implications for Resource-Constrained Contexts</w:t>
      </w:r>
    </w:p>
    <w:p>
      <w:pPr>
        <w:spacing w:after="200" w:line="360"/>
        <w:jc w:val="both"/>
      </w:pPr>
      <w:r>
        <w:rPr>
          <w:rFonts w:ascii="Times New Roman" w:cs="Times New Roman" w:eastAsia="Times New Roman" w:hAnsi="Times New Roman"/>
          <w:sz w:val="24"/>
          <w:szCs w:val="24"/>
        </w:rPr>
        <w:t xml:space="preserve">The findings have particular relevance for educational settings in developing regions where access to experienced instructors is limited and student-to-teacher ratios are high. In such contexts, AI chatbots could help bridge the feedback gap by providing students with on-demand support that would otherwise be unavailable. However, deploying such systems requires reliable internet connectivity, access to mobile devices, and culturally and linguistically appropriate chatbot content—conditions that are not always met in resource-constrained environments. Future research should examine the transferability of chatbot-assisted review approaches to such contexts, accounting for infrastructure constraints, language diversity, and varying levels of digital literacy.</w:t>
      </w:r>
    </w:p>
    <w:p>
      <w:pPr>
        <w:pStyle w:val="Heading1"/>
      </w:pPr>
      <w:r>
        <w:t xml:space="preserve">6. Critical Discussion</w:t>
      </w:r>
    </w:p>
    <w:p>
      <w:pPr>
        <w:spacing w:after="200" w:line="360"/>
        <w:jc w:val="both"/>
      </w:pPr>
      <w:r>
        <w:rPr>
          <w:rFonts w:ascii="Times New Roman" w:cs="Times New Roman" w:eastAsia="Times New Roman" w:hAnsi="Times New Roman"/>
          <w:sz w:val="24"/>
          <w:szCs w:val="24"/>
        </w:rPr>
        <w:t xml:space="preserve">While the study makes a meaningful contribution to the literature on AI-assisted learning, several aspects warrant further critical reflection. The authors frame the chatbot as providing “personalized” feedback, but the degree of personalization achievable through a decision-tree-based system with predetermined response paths is debatable. True personalization would involve the system adapting its responses based on a model of the individual learner’s knowledge state, learning history, and preferences—capabilities that go beyond keyword-matching and predefined answer retrieval. The distinction between “instant” and “personalized” feedback is important and should be more carefully drawn.</w:t>
      </w:r>
    </w:p>
    <w:p>
      <w:pPr>
        <w:spacing w:after="200" w:line="360"/>
        <w:jc w:val="both"/>
      </w:pPr>
      <w:r>
        <w:rPr>
          <w:rFonts w:ascii="Times New Roman" w:cs="Times New Roman" w:eastAsia="Times New Roman" w:hAnsi="Times New Roman"/>
          <w:sz w:val="24"/>
          <w:szCs w:val="24"/>
        </w:rPr>
        <w:t xml:space="preserve">The ecological validity of the study also deserves scrutiny. The experimental context—a public health course covering specific infectious diseases—is well suited to a chatbot with a structured knowledge base. It is less clear how similar benefits would emerge in courses requiring abstract reasoning, creative problem-solving, or open-ended inquiry, where the limitations of the chatbot’s response system would be more exposed.</w:t>
      </w:r>
    </w:p>
    <w:p>
      <w:pPr>
        <w:spacing w:after="200" w:line="360"/>
        <w:jc w:val="both"/>
      </w:pPr>
      <w:r>
        <w:rPr>
          <w:rFonts w:ascii="Times New Roman" w:cs="Times New Roman" w:eastAsia="Times New Roman" w:hAnsi="Times New Roman"/>
          <w:sz w:val="24"/>
          <w:szCs w:val="24"/>
        </w:rPr>
        <w:t xml:space="preserve">The study’s reliance on self-reported measures for motivation, attitude, and self-efficacy introduces the possibility of social desirability bias, particularly given that the experimental group students knew they were using a novel technology. Behavioral indicators of engagement (such as frequency and depth of chatbot interactions, time spent on review, or patterns of question complexity) would have provided more objective measures of the chatbot’s impact.</w:t>
      </w:r>
    </w:p>
    <w:p>
      <w:pPr>
        <w:spacing w:after="200" w:line="360"/>
        <w:jc w:val="both"/>
      </w:pPr>
      <w:r>
        <w:rPr>
          <w:rFonts w:ascii="Times New Roman" w:cs="Times New Roman" w:eastAsia="Times New Roman" w:hAnsi="Times New Roman"/>
          <w:sz w:val="24"/>
          <w:szCs w:val="24"/>
        </w:rPr>
        <w:t xml:space="preserve">Finally, the study does not address potential equity concerns. If chatbot-based review is more effective than teacher-led review, as the results suggest, then the choice of which group receives the chatbot intervention has ethical implications. Future studies should consider crossover designs or ensure that all participants eventually receive the intervention.</w:t>
      </w:r>
    </w:p>
    <w:p>
      <w:pPr>
        <w:pStyle w:val="Heading1"/>
      </w:pPr>
      <w:r>
        <w:t xml:space="preserve">7. Conclusion</w:t>
      </w:r>
    </w:p>
    <w:p>
      <w:pPr>
        <w:spacing w:after="200" w:line="360"/>
        <w:jc w:val="both"/>
      </w:pPr>
      <w:r>
        <w:rPr>
          <w:rFonts w:ascii="Times New Roman" w:cs="Times New Roman" w:eastAsia="Times New Roman" w:hAnsi="Times New Roman"/>
          <w:sz w:val="24"/>
          <w:szCs w:val="24"/>
        </w:rPr>
        <w:t xml:space="preserve">Lee, Hwang, and Chen (2022) present a timely and relevant study that provides empirical evidence for the effectiveness of AI-based chatbots in supporting college students’ after-class review. The findings demonstrate statistically significant improvements in academic performance, self-efficacy, learning attitude, and motivation for students using the chatbot compared to those relying on conventional teacher-student interaction. The qualitative data enrich these findings by revealing the psychological and practical benefits that students experienced, including reduced anxiety about asking questions and the convenience of ubiquitous access to learning support.</w:t>
      </w:r>
    </w:p>
    <w:p>
      <w:pPr>
        <w:spacing w:after="200" w:line="360"/>
        <w:jc w:val="both"/>
      </w:pPr>
      <w:r>
        <w:rPr>
          <w:rFonts w:ascii="Times New Roman" w:cs="Times New Roman" w:eastAsia="Times New Roman" w:hAnsi="Times New Roman"/>
          <w:sz w:val="24"/>
          <w:szCs w:val="24"/>
        </w:rPr>
        <w:t xml:space="preserve">However, the study’s small sample size, short duration, potential novelty effects, and the absence of a technology-equivalent control condition limit the generalizability and causal strength of its conclusions. The chatbot itself, while technically sound for its specific domain, operates within the constraints of a keyword-driven decision tree that falls short of true conversational AI. As the field of educational technology advances rapidly, with increasingly sophisticated language models becoming available, the findings of this study should be interpreted as an encouraging but preliminary step toward understanding how AI chatbots can meaningfully enhance learning.</w:t>
      </w:r>
    </w:p>
    <w:p>
      <w:pPr>
        <w:spacing w:after="200" w:line="360"/>
        <w:jc w:val="both"/>
      </w:pPr>
      <w:r>
        <w:rPr>
          <w:rFonts w:ascii="Times New Roman" w:cs="Times New Roman" w:eastAsia="Times New Roman" w:hAnsi="Times New Roman"/>
          <w:sz w:val="24"/>
          <w:szCs w:val="24"/>
        </w:rPr>
        <w:t xml:space="preserve">For researchers, the study underscores the need for larger-scale, longer-duration experiments with more rigorous controls to establish the enduring effectiveness of chatbot-assisted learning. For educators and technologists, it offers a practical model for integrating AI tools into after-class review processes while highlighting the importance of structured pedagogical design and the continued need for human instructional support alongside AI-driven tools.</w:t>
      </w:r>
    </w:p>
    <w:p>
      <w:pPr>
        <w:pStyle w:val="Heading1"/>
      </w:pPr>
      <w:r>
        <w:t xml:space="preserve">References</w:t>
      </w:r>
    </w:p>
    <w:p>
      <w:pPr>
        <w:spacing w:after="120" w:line="276"/>
        <w:ind w:left="720" w:hanging="720"/>
      </w:pPr>
      <w:r>
        <w:rPr>
          <w:rFonts w:ascii="Times New Roman" w:cs="Times New Roman" w:eastAsia="Times New Roman" w:hAnsi="Times New Roman"/>
          <w:sz w:val="22"/>
          <w:szCs w:val="22"/>
        </w:rPr>
        <w:t xml:space="preserve">Butler, A. C., &amp; Roediger, H. L., III. (2007). Testing improves long-term retention in a simulated classroom setting. European Journal of Cognitive Psychology, 19(4–5), 514–527.</w:t>
      </w:r>
    </w:p>
    <w:p>
      <w:pPr>
        <w:spacing w:after="120" w:line="276"/>
        <w:ind w:left="720" w:hanging="720"/>
      </w:pPr>
      <w:r>
        <w:rPr>
          <w:rFonts w:ascii="Times New Roman" w:cs="Times New Roman" w:eastAsia="Times New Roman" w:hAnsi="Times New Roman"/>
          <w:sz w:val="22"/>
          <w:szCs w:val="22"/>
        </w:rPr>
        <w:t xml:space="preserve">Cohen, J. (1988). Statistical power analysis for the behavioral sciences (2nd ed.). Lawrence Erlbaum Associates.</w:t>
      </w:r>
    </w:p>
    <w:p>
      <w:pPr>
        <w:spacing w:after="120" w:line="276"/>
        <w:ind w:left="720" w:hanging="720"/>
      </w:pPr>
      <w:r>
        <w:rPr>
          <w:rFonts w:ascii="Times New Roman" w:cs="Times New Roman" w:eastAsia="Times New Roman" w:hAnsi="Times New Roman"/>
          <w:sz w:val="22"/>
          <w:szCs w:val="22"/>
        </w:rPr>
        <w:t xml:space="preserve">Hwang, G. J., Yang, L. H., &amp; Wang, S. Y. (2013). A concept map-embedded educational computer game for improving students’ learning performance in natural science courses. Computers &amp; Education, 69, 121–130.</w:t>
      </w:r>
    </w:p>
    <w:p>
      <w:pPr>
        <w:spacing w:after="120" w:line="276"/>
        <w:ind w:left="720" w:hanging="720"/>
      </w:pPr>
      <w:r>
        <w:rPr>
          <w:rFonts w:ascii="Times New Roman" w:cs="Times New Roman" w:eastAsia="Times New Roman" w:hAnsi="Times New Roman"/>
          <w:sz w:val="22"/>
          <w:szCs w:val="22"/>
        </w:rPr>
        <w:t xml:space="preserve">Lee, Y.-F., Hwang, G.-J., &amp; Chen, P.-Y. (2022). Impacts of an AI-based chatbot on college students’ after-class review, academic performance, self-efficacy, learning attitude, and motivation. Education Tech Research Dev, 70, 1843–1865.</w:t>
      </w:r>
    </w:p>
    <w:p>
      <w:pPr>
        <w:spacing w:after="120" w:line="276"/>
        <w:ind w:left="720" w:hanging="720"/>
      </w:pPr>
      <w:r>
        <w:rPr>
          <w:rFonts w:ascii="Times New Roman" w:cs="Times New Roman" w:eastAsia="Times New Roman" w:hAnsi="Times New Roman"/>
          <w:sz w:val="22"/>
          <w:szCs w:val="22"/>
        </w:rPr>
        <w:t xml:space="preserve">Pintrich, P. R., Smith, D. A. F., Garcia, T., &amp; McKeachie, W. J. (1991). A manual for the use of the motivated strategies for learning questionnaire (MSLQ). MI: National Center for Research to Improve Postsecondary Teaching and Learning.</w:t>
      </w:r>
    </w:p>
    <w:p>
      <w:pPr>
        <w:spacing w:after="120" w:line="276"/>
        <w:ind w:left="720" w:hanging="720"/>
      </w:pPr>
      <w:r>
        <w:rPr>
          <w:rFonts w:ascii="Times New Roman" w:cs="Times New Roman" w:eastAsia="Times New Roman" w:hAnsi="Times New Roman"/>
          <w:sz w:val="22"/>
          <w:szCs w:val="22"/>
        </w:rPr>
        <w:t xml:space="preserve">Roblyer, M. D., McDaniel, M., Webb, M., Herman, J., &amp; Witty, J. V. (2010). Findings on Facebook in higher education: A comparison of college faculty and student uses and perceptions of social networking sites. The Internet and Higher Education, 13(3), 134–140.</w:t>
      </w:r>
    </w:p>
    <w:p>
      <w:pPr>
        <w:spacing w:after="120" w:line="276"/>
        <w:ind w:left="720" w:hanging="720"/>
      </w:pPr>
      <w:r>
        <w:rPr>
          <w:rFonts w:ascii="Times New Roman" w:cs="Times New Roman" w:eastAsia="Times New Roman" w:hAnsi="Times New Roman"/>
          <w:sz w:val="22"/>
          <w:szCs w:val="22"/>
        </w:rPr>
        <w:t xml:space="preserve">Smutny, P., &amp; Schreiberova, P. (2020). Chatbots for learning: A review of educational chatbots for the Facebook Messenger. Computers and Education, 151, 103862.</w:t>
      </w:r>
    </w:p>
    <w:p>
      <w:pPr>
        <w:spacing w:after="120" w:line="276"/>
        <w:ind w:left="720" w:hanging="720"/>
      </w:pPr>
      <w:r>
        <w:rPr>
          <w:rFonts w:ascii="Times New Roman" w:cs="Times New Roman" w:eastAsia="Times New Roman" w:hAnsi="Times New Roman"/>
          <w:sz w:val="22"/>
          <w:szCs w:val="22"/>
        </w:rPr>
        <w:t xml:space="preserve">Stowell, J. R., Oldham, T., &amp; Bennett, D. (2010). Using student response systems (“clickers”) to combat conformity and shyness. Teaching of Psychology, 37(2), 135–140.</w:t>
      </w:r>
    </w:p>
    <w:p>
      <w:pPr>
        <w:spacing w:after="120" w:line="276"/>
        <w:ind w:left="720" w:hanging="720"/>
      </w:pPr>
      <w:r>
        <w:rPr>
          <w:rFonts w:ascii="Times New Roman" w:cs="Times New Roman" w:eastAsia="Times New Roman" w:hAnsi="Times New Roman"/>
          <w:sz w:val="22"/>
          <w:szCs w:val="22"/>
        </w:rPr>
        <w:t xml:space="preserve">Wang, L. C., &amp; Chen, M. P. (2010). The effects of game strategy and preference-matching on flow experience and programming performance in game-based learning. Innovations in Education and Teaching International, 47(1), 39–52.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2026-03-18T07:32:57.734Z</dcterms:created>
  <dcterms:modified xsi:type="dcterms:W3CDTF">2026-03-18T07:32:57.735Z</dcterms:modified>
</cp:coreProperties>
</file>

<file path=docProps/custom.xml><?xml version="1.0" encoding="utf-8"?>
<Properties xmlns="http://schemas.openxmlformats.org/officeDocument/2006/custom-properties" xmlns:vt="http://schemas.openxmlformats.org/officeDocument/2006/docPropsVTypes"/>
</file>