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Survey 2 top-ranked models from the dredge (complete-case data; delta AICc &lt; 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03"/>
        <w:gridCol w:w="2061"/>
        <w:gridCol w:w="1080"/>
        <w:gridCol w:w="1080"/>
        <w:gridCol w:w="1080"/>
        <w:gridCol w:w="1462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terms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 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weight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Lat x Score.type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EP x Score.type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Models ranked by AICc on the complete-case dataset (312 scores, 22 countries). All models include Score.type, a country random intercept and a respondent random intercept. Weights are relative to all 49 candidate models.</w:t>
            </w:r>
          </w:p>
        </w:tc>
      </w:tr>
    </w:tbl>
    <w:p>
      <w:pPr>
        <w:pStyle w:val="Titre2"/>
      </w:pPr>
      <w:r>
        <w:t xml:space="preserve">Table 2. Survey 2 AICc of refitted models (models refitted on all available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35"/>
        <w:gridCol w:w="1080"/>
        <w:gridCol w:w="1080"/>
        <w:gridCol w:w="1462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 AICc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only (null)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+ EP + EP x Score.type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models fitted to identical rows (359 scores, 24 countries); Delta AICc is relative to the best model. These AICc values are not comparable with Table 1 (best dredge AICc 655) if the data differ.</w:t>
            </w:r>
          </w:p>
        </w:tc>
      </w:tr>
    </w:tbl>
    <w:p>
      <w:pPr>
        <w:pStyle w:val="Titre2"/>
      </w:pPr>
      <w:r>
        <w:t xml:space="preserve">Table 3. Survey 2 likelihood ratio tests (models refitted on all available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4048"/>
        <w:gridCol w:w="1080"/>
        <w:gridCol w:w="1080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Models compared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EP effect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 vs  EP + Score.type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0.00106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differs by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 + Score.type  vs  EP x Score.type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0.02388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EP effect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  vs  EP x Score.type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 x Score.type = EP + Score.type + their interaction. All models include country and respondent random intercepts. Models refitted on all available data (359 scores, 24 countries).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 model: Score_ord ~ EP_z * Score.type + (1 | Country.clean) + (1 | Respondent.clean). Score_ord = ordinal score (0-3); EP_z = Environmental Performance score standardised across countries; (1 | ...) = random intercepts. Cumulative link mixed model (ordinal::clmm), logit link.</w:t>
            </w:r>
          </w:p>
        </w:tc>
      </w:tr>
    </w:tbl>
    <w:p>
      <w:pPr>
        <w:pStyle w:val="Titre2"/>
      </w:pPr>
      <w:r>
        <w:t xml:space="preserve">Table 4. Survey 2 EP slope per intervention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5"/>
        <w:gridCol w:w="2172"/>
        <w:gridCol w:w="1080"/>
        <w:gridCol w:w="1080"/>
        <w:gridCol w:w="1291"/>
        <w:gridCol w:w="1291"/>
        <w:gridCol w:w="1080"/>
        <w:gridCol w:w="1254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 of EP 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Each row tests whether the EP slope for that intervention differs from zero. Slopes are log-odds of a higher score per +1 SD of Environmental Performance score, from the refitted model (24 countries). CIs and p-values are Holm-adjusted across the six interventions.</w:t>
            </w:r>
          </w:p>
        </w:tc>
      </w:tr>
    </w:tbl>
    <w:p>
      <w:pPr>
        <w:pStyle w:val="Titre2"/>
      </w:pPr>
      <w:r>
        <w:t xml:space="preserve">Table 5. Survey 2 EP slope comparisons between interventions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7"/>
        <w:gridCol w:w="2233"/>
        <w:gridCol w:w="1080"/>
        <w:gridCol w:w="1080"/>
        <w:gridCol w:w="1080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Agrochemical Reduction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0.8708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0.5957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0.1689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0.9464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 - 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0.6565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Pairwise differences in EP slope between interventions, Tukey-adjusted (refitted model).</w:t>
            </w:r>
          </w:p>
        </w:tc>
      </w:tr>
    </w:tbl>
    <w:p>
      <w:pPr>
        <w:pStyle w:val="Titre2"/>
      </w:pPr>
      <w:r>
        <w:t xml:space="preserve">Table S1. Survey 2 full model summary (refitted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34"/>
        <w:gridCol w:w="1266"/>
        <w:gridCol w:w="839"/>
        <w:gridCol w:w="912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0.9295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0.1087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2026-10-09T17:22:07Z</dcterms:modified>
  <cp:category/>
</cp:coreProperties>
</file>