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Date:18-01-2025</w:t>
      </w:r>
    </w:p>
    <w:p w:rsidR="00000000" w:rsidDel="00000000" w:rsidP="00000000" w:rsidRDefault="00000000" w:rsidRPr="00000000" w14:paraId="00000008">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A">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Mr. Dunna Yuva kiran  </w:t>
      </w:r>
    </w:p>
    <w:p w:rsidR="00000000" w:rsidDel="00000000" w:rsidP="00000000" w:rsidRDefault="00000000" w:rsidRPr="00000000" w14:paraId="0000000B">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C">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D">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Yuva Kiran,</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14th January, 2025, we are pleased to offer you the position as “</w:t>
      </w:r>
      <w:r w:rsidDel="00000000" w:rsidR="00000000" w:rsidRPr="00000000">
        <w:rPr>
          <w:rFonts w:ascii="Cambria" w:cs="Cambria" w:eastAsia="Cambria" w:hAnsi="Cambria"/>
          <w:b w:val="1"/>
          <w:rtl w:val="0"/>
        </w:rPr>
        <w:t xml:space="preserve">React Developer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20th January,2025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Rs.2,40,000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1">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65" name="image2.png"/>
            <a:graphic>
              <a:graphicData uri="http://schemas.openxmlformats.org/drawingml/2006/picture">
                <pic:pic>
                  <pic:nvPicPr>
                    <pic:cNvPr id="0" name="image2.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3">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Fonts w:ascii="Cambria" w:cs="Cambria" w:eastAsia="Cambria" w:hAnsi="Cambria"/>
                        <w:b w:val="1"/>
                        <w:rtl w:val="0"/>
                      </w:rPr>
                      <w:t xml:space="preserve">Name : Yuva Kiran </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Fonts w:ascii="Cambria" w:cs="Cambria" w:eastAsia="Cambria" w:hAnsi="Cambria"/>
                        <w:b w:val="1"/>
                        <w:rtl w:val="0"/>
                      </w:rPr>
                      <w:t xml:space="preserve">Designation : React Developer </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Fonts w:ascii="Cambria" w:cs="Cambria" w:eastAsia="Cambria" w:hAnsi="Cambria"/>
                        <w:b w:val="1"/>
                        <w:rtl w:val="0"/>
                      </w:rPr>
                      <w:t xml:space="preserve">Date of Joining ; 20-01-2025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rtl w:val="0"/>
                      </w:rPr>
                      <w:t xml:space="preserve">8,000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rtl w:val="0"/>
                      </w:rPr>
                      <w:t xml:space="preserve">96,000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3,200</w:t>
                    </w:r>
                    <w:r w:rsidDel="00000000" w:rsidR="00000000" w:rsidRPr="00000000">
                      <w:rPr>
                        <w:rtl w:val="0"/>
                      </w:rPr>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38,400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sz w:val="20"/>
                        <w:szCs w:val="20"/>
                        <w:rtl w:val="0"/>
                      </w:rPr>
                      <w:t xml:space="preserve">4,330</w:t>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51,960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1,920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23,040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sz w:val="20"/>
                        <w:szCs w:val="20"/>
                        <w:rtl w:val="0"/>
                      </w:rPr>
                      <w:t xml:space="preserve">800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sz w:val="20"/>
                        <w:szCs w:val="20"/>
                        <w:rtl w:val="0"/>
                      </w:rPr>
                      <w:t xml:space="preserve">9,600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rFonts w:ascii="Cambria" w:cs="Cambria" w:eastAsia="Cambria" w:hAnsi="Cambria"/>
                        <w:b w:val="1"/>
                        <w:rtl w:val="0"/>
                      </w:rPr>
                      <w:t xml:space="preserve">20,000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2,40,000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17,130</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rFonts w:ascii="Cambria" w:cs="Cambria" w:eastAsia="Cambria" w:hAnsi="Cambria"/>
                        <w:b w:val="1"/>
                        <w:rtl w:val="0"/>
                      </w:rPr>
                      <w:t xml:space="preserve">2,05,560</w:t>
                    </w:r>
                    <w:r w:rsidDel="00000000" w:rsidR="00000000" w:rsidRPr="00000000">
                      <w:rPr>
                        <w:rtl w:val="0"/>
                      </w:rPr>
                    </w:r>
                  </w:p>
                </w:tc>
              </w:sdtContent>
            </w:sdt>
          </w:tr>
        </w:tbl>
      </w:sdtContent>
    </w:sdt>
    <w:p w:rsidR="00000000" w:rsidDel="00000000" w:rsidP="00000000" w:rsidRDefault="00000000" w:rsidRPr="00000000" w14:paraId="00000083">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6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67"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12DhQE8sUeJifrHUanstt0Gr4w==">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UTVoMnFwcFFJUHhHZjRPN0xBZnZtU1NJV00wNDB1d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