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36" coordsize="21600,21600" o:spt="136.0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o:connectangles="270,180,90,0" o:connectlocs="@9,0;@10,10800;@11,21600;@12,10800" o:connecttype="custom" textpathok="t"/>
            <v:textpath fitshape="t" on="t"/>
            <v:handles/>
            <o:lock v:ext="edit" shapetype="t" text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Letter of Recommendation</w:t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To Whom It May Concern,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pleased to write this letter of recommendation for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Sai Teja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who has been a valuable member of our front-end development team. During his tenure with us, Teja demonstrated strong technical proficiency and a dedicated work ethic, making noteworthy contributions to our live projects.</w:t>
        <w:br w:type="textWrapping"/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Teja worked extensively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HTML, CSS, JavaScript, React.js, and Material-UI (MUI)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He played an active role in the development and enhancement of front-end modules, consistently delivering high-quality code and efficient user interfaces. His ability to understand project requirements and translate them into functional components added significant value to our deliverables.</w:t>
        <w:br w:type="textWrapping"/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Teja quickly adapted to our project workflows and internal processes, showcasing his flexibility and eagerness to learn. He consistently delivered assigned tasks on time, demonstrating a strong sense of responsibility, accuracy, and attention to detail in every aspect of his work.</w:t>
        <w:br w:type="textWrapping"/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One of Teja’s key strengths is his professional communication. He maintained a clear and collaborative line of communication with team members and kept his Team Lead regularly informed about progress and updates. His positive attitude and team-oriented approach made him a pleasure to work with.</w:t>
        <w:br w:type="textWrapping"/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have no doubt that Sai Teja will be an asset to any organization he chooses to join. I wholeheartedly recommend him for any opportunity that aligns with his skills and interests.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Warm regards,</w:t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bookmarkStart w:colFirst="0" w:colLast="0" w:name="_heading=h.fhq20jgq4pjb" w:id="0"/>
      <w:bookmarkEnd w:id="0"/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95413" cy="1220986"/>
            <wp:effectExtent b="0" l="0" r="0" t="0"/>
            <wp:docPr id="17042972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742" l="21102" r="16875" t="21288"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1220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Authorized Signature 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34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80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rPr>
        <w:color w:val="000000"/>
      </w:rPr>
    </w:pPr>
    <w:r w:rsidDel="00000000" w:rsidR="00000000" w:rsidRPr="00000000">
      <w:rPr/>
      <w:drawing>
        <wp:inline distB="0" distT="0" distL="0" distR="0">
          <wp:extent cx="6321796" cy="990658"/>
          <wp:effectExtent b="0" l="0" r="0" t="0"/>
          <wp:docPr id="170429727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21796" cy="9906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3pt;height:173.0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&quot;&amp;quot&quot;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0wplQDa/LFUi/yh4RI1f+/N58A==">CgMxLjAyDmguZmhxMjBqZ3E0cGpiOAByITFyaVM2UTJiZXh5ekFYMHJheDlZOUxaMU05VlFCdHZUVw==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0bb0d3e70b81b01eaf11d18dbd9036d5d8981dc3c641c61f57ca447a5ab878cc</vt:lpwstr>
  </property>
</Properties>
</file>