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onsolas" w:hAnsi="Consolas"/>
          <w:b/>
          <w:i w:val="0"/>
          <w:color w:val="1B6E8F"/>
          <w:sz w:val="18"/>
        </w:rPr>
        <w:t>EXECUTIVE SUMMARY</w:t>
      </w:r>
    </w:p>
    <w:p>
      <w:pPr>
        <w:spacing w:before="0" w:after="80"/>
        <w:pBdr>
          <w:bottom w:val="single" w:sz="6" w:space="4" w:color="13324B"/>
        </w:pBdr>
      </w:pPr>
      <w:r>
        <w:rPr>
          <w:rFonts w:ascii="Georgia" w:hAnsi="Georgia"/>
          <w:b/>
          <w:i w:val="0"/>
          <w:color w:val="13324B"/>
          <w:sz w:val="56"/>
        </w:rPr>
        <w:t>Adora</w:t>
      </w:r>
    </w:p>
    <w:p>
      <w:pPr>
        <w:spacing w:before="0" w:after="160"/>
      </w:pPr>
      <w:r>
        <w:rPr>
          <w:rFonts w:ascii="Georgia" w:hAnsi="Georgia"/>
          <w:b w:val="0"/>
          <w:i/>
          <w:color w:val="7A8B98"/>
          <w:sz w:val="23"/>
        </w:rPr>
        <w:t>Catching dropshipping storefronts where they buy their customers: in the ads themselves, before the shop has a reputation to check.</w:t>
      </w:r>
    </w:p>
    <w:p>
      <w:pPr>
        <w:spacing w:before="0" w:after="240"/>
      </w:pPr>
      <w:r>
        <w:rPr>
          <w:rFonts w:ascii="Calibri" w:hAnsi="Calibri"/>
          <w:b/>
          <w:i w:val="0"/>
          <w:color w:val="1B6E8F"/>
          <w:sz w:val="18"/>
        </w:rPr>
        <w:t xml:space="preserve">Team  </w:t>
      </w:r>
      <w:r>
        <w:rPr>
          <w:rFonts w:ascii="Calibri" w:hAnsi="Calibri"/>
          <w:b w:val="0"/>
          <w:i w:val="0"/>
          <w:color w:val="2E4050"/>
          <w:sz w:val="19"/>
        </w:rPr>
        <w:t xml:space="preserve">Rani Maman · Guy Yad Shalom      </w:t>
      </w:r>
      <w:r>
        <w:rPr>
          <w:rFonts w:ascii="Calibri" w:hAnsi="Calibri"/>
          <w:b/>
          <w:i w:val="0"/>
          <w:color w:val="1B6E8F"/>
          <w:sz w:val="18"/>
        </w:rPr>
        <w:t xml:space="preserve">Institution  </w:t>
      </w:r>
      <w:r>
        <w:rPr>
          <w:rFonts w:ascii="Calibri" w:hAnsi="Calibri"/>
          <w:b w:val="0"/>
          <w:i w:val="0"/>
          <w:color w:val="2E4050"/>
          <w:sz w:val="19"/>
        </w:rPr>
        <w:t xml:space="preserve">Academic College of Tel Aviv-Yaffo      </w:t>
      </w:r>
      <w:r>
        <w:rPr>
          <w:rFonts w:ascii="Calibri" w:hAnsi="Calibri"/>
          <w:b/>
          <w:i w:val="0"/>
          <w:color w:val="1B6E8F"/>
          <w:sz w:val="18"/>
        </w:rPr>
        <w:t xml:space="preserve">Status  </w:t>
      </w:r>
      <w:r>
        <w:rPr>
          <w:rFonts w:ascii="Calibri" w:hAnsi="Calibri"/>
          <w:b w:val="0"/>
          <w:i w:val="0"/>
          <w:color w:val="2E4050"/>
          <w:sz w:val="19"/>
        </w:rPr>
        <w:t xml:space="preserve">Operational system, live data      </w:t>
      </w:r>
      <w:r>
        <w:rPr>
          <w:rFonts w:ascii="Calibri" w:hAnsi="Calibri"/>
          <w:b/>
          <w:i w:val="0"/>
          <w:color w:val="1B6E8F"/>
          <w:sz w:val="18"/>
        </w:rPr>
        <w:t xml:space="preserve">Date  </w:t>
      </w:r>
      <w:r>
        <w:rPr>
          <w:rFonts w:ascii="Calibri" w:hAnsi="Calibri"/>
          <w:b w:val="0"/>
          <w:i w:val="0"/>
          <w:color w:val="2E4050"/>
          <w:sz w:val="19"/>
        </w:rPr>
        <w:t>September 2026</w:t>
      </w:r>
    </w:p>
    <w:p>
      <w:pPr>
        <w:keepNext/>
        <w:spacing w:before="280" w:after="100"/>
      </w:pPr>
      <w:r>
        <w:rPr>
          <w:rFonts w:ascii="Georgia" w:hAnsi="Georgia"/>
          <w:b/>
          <w:i w:val="0"/>
          <w:color w:val="13324B"/>
          <w:sz w:val="30"/>
        </w:rPr>
        <w:t>1.  Overview</w:t>
      </w:r>
    </w:p>
    <w:p>
      <w:pPr>
        <w:spacing w:before="0" w:after="120"/>
      </w:pPr>
      <w:r>
        <w:rPr>
          <w:rFonts w:ascii="Calibri" w:hAnsi="Calibri"/>
          <w:b w:val="0"/>
          <w:i w:val="0"/>
          <w:color w:val="2E4050"/>
          <w:sz w:val="21"/>
        </w:rPr>
        <w:t>Adora is a browser extension (Chrome and Safari, on desktop and iPhone) that warns Israeli shoppers when the store they have landed on is a dropshipping operation reselling cheap marketplace goods at a large markup. Behind it runs an automated pipeline that reads Facebook’s public Ad Library every night, analyses the websites behind those ads, and maintains a risk database the extension consults as the user browses.</w:t>
      </w:r>
    </w:p>
    <w:p>
      <w:pPr>
        <w:spacing w:before="0" w:after="120"/>
      </w:pPr>
      <w:r>
        <w:rPr>
          <w:rFonts w:ascii="Calibri" w:hAnsi="Calibri"/>
          <w:b w:val="0"/>
          <w:i w:val="0"/>
          <w:color w:val="2E4050"/>
          <w:sz w:val="21"/>
        </w:rPr>
        <w:t>The insight the project is built on is one of placement. Deceptive storefronts are not discovered through search; they are discovered through paid social advertising, where these operations spend nearly all of their money. A shop can register a domain, run ads for three weeks, take orders, and disappear before a single review is written about it, so any defence that waits for reputation arrives too late by design. Adora monitors the advertising channel itself, evaluates storefronts before most users have encountered them, and delivers the verdict at the only moment that matters: when the shopper is on the site with a product in front of them.</w:t>
      </w:r>
    </w:p>
    <w:tbl>
      <w:tblPr>
        <w:tblW w:type="auto" w:w="0"/>
        <w:jc w:val="center"/>
        <w:tblLook w:firstColumn="1" w:firstRow="1" w:lastColumn="0" w:lastRow="0" w:noHBand="0" w:noVBand="1" w:val="04A0"/>
      </w:tblPr>
      <w:tblGrid>
        <w:gridCol w:w="2365"/>
        <w:gridCol w:w="2365"/>
        <w:gridCol w:w="2365"/>
        <w:gridCol w:w="2365"/>
      </w:tblGrid>
      <w:tr>
        <w:tc>
          <w:tcPr>
            <w:tcW w:type="dxa" w:w="2365"/>
          </w:tcPr>
          <w:p>
            <w:pPr>
              <w:spacing w:after="0"/>
            </w:pPr>
            <w:r>
              <w:rPr>
                <w:rFonts w:ascii="Georgia" w:hAnsi="Georgia"/>
                <w:b/>
                <w:i w:val="0"/>
                <w:color w:val="13324B"/>
                <w:sz w:val="34"/>
              </w:rPr>
              <w:t>59,354</w:t>
            </w:r>
          </w:p>
        </w:tc>
        <w:tc>
          <w:tcPr>
            <w:tcW w:type="dxa" w:w="2365"/>
          </w:tcPr>
          <w:p>
            <w:pPr>
              <w:spacing w:after="0"/>
            </w:pPr>
            <w:r>
              <w:rPr>
                <w:rFonts w:ascii="Georgia" w:hAnsi="Georgia"/>
                <w:b/>
                <w:i w:val="0"/>
                <w:color w:val="13324B"/>
                <w:sz w:val="34"/>
              </w:rPr>
              <w:t>11,707</w:t>
            </w:r>
          </w:p>
        </w:tc>
        <w:tc>
          <w:tcPr>
            <w:tcW w:type="dxa" w:w="2365"/>
          </w:tcPr>
          <w:p>
            <w:pPr>
              <w:spacing w:after="0"/>
            </w:pPr>
            <w:r>
              <w:rPr>
                <w:rFonts w:ascii="Georgia" w:hAnsi="Georgia"/>
                <w:b/>
                <w:i w:val="0"/>
                <w:color w:val="13324B"/>
                <w:sz w:val="34"/>
              </w:rPr>
              <w:t>661</w:t>
            </w:r>
          </w:p>
        </w:tc>
        <w:tc>
          <w:tcPr>
            <w:tcW w:type="dxa" w:w="2365"/>
          </w:tcPr>
          <w:p>
            <w:pPr>
              <w:spacing w:after="0"/>
            </w:pPr>
            <w:r>
              <w:rPr>
                <w:rFonts w:ascii="Georgia" w:hAnsi="Georgia"/>
                <w:b/>
                <w:i w:val="0"/>
                <w:color w:val="13324B"/>
                <w:sz w:val="34"/>
              </w:rPr>
              <w:t>542</w:t>
            </w:r>
          </w:p>
        </w:tc>
      </w:tr>
      <w:tr>
        <w:tc>
          <w:tcPr>
            <w:tcW w:type="dxa" w:w="2365"/>
          </w:tcPr>
          <w:p>
            <w:pPr>
              <w:spacing w:after="40"/>
            </w:pPr>
            <w:r>
              <w:rPr>
                <w:rFonts w:ascii="Calibri" w:hAnsi="Calibri"/>
                <w:b w:val="0"/>
                <w:i w:val="0"/>
                <w:color w:val="7A8B98"/>
                <w:sz w:val="17"/>
              </w:rPr>
              <w:t>ads collected</w:t>
            </w:r>
          </w:p>
        </w:tc>
        <w:tc>
          <w:tcPr>
            <w:tcW w:type="dxa" w:w="2365"/>
          </w:tcPr>
          <w:p>
            <w:pPr>
              <w:spacing w:after="40"/>
            </w:pPr>
            <w:r>
              <w:rPr>
                <w:rFonts w:ascii="Calibri" w:hAnsi="Calibri"/>
                <w:b w:val="0"/>
                <w:i w:val="0"/>
                <w:color w:val="7A8B98"/>
                <w:sz w:val="17"/>
              </w:rPr>
              <w:t>advertisers identified</w:t>
            </w:r>
          </w:p>
        </w:tc>
        <w:tc>
          <w:tcPr>
            <w:tcW w:type="dxa" w:w="2365"/>
          </w:tcPr>
          <w:p>
            <w:pPr>
              <w:spacing w:after="40"/>
            </w:pPr>
            <w:r>
              <w:rPr>
                <w:rFonts w:ascii="Calibri" w:hAnsi="Calibri"/>
                <w:b w:val="0"/>
                <w:i w:val="0"/>
                <w:color w:val="7A8B98"/>
                <w:sz w:val="17"/>
              </w:rPr>
              <w:t>storefronts flagged</w:t>
            </w:r>
          </w:p>
        </w:tc>
        <w:tc>
          <w:tcPr>
            <w:tcW w:type="dxa" w:w="2365"/>
          </w:tcPr>
          <w:p>
            <w:pPr>
              <w:spacing w:after="40"/>
            </w:pPr>
            <w:r>
              <w:rPr>
                <w:rFonts w:ascii="Calibri" w:hAnsi="Calibri"/>
                <w:b w:val="0"/>
                <w:i w:val="0"/>
                <w:color w:val="7A8B98"/>
                <w:sz w:val="17"/>
              </w:rPr>
              <w:t>with price evidence</w:t>
            </w:r>
          </w:p>
        </w:tc>
      </w:tr>
    </w:tbl>
    <w:p>
      <w:pPr>
        <w:spacing w:before="80" w:after="120"/>
      </w:pPr>
      <w:r>
        <w:rPr>
          <w:rFonts w:ascii="Calibri" w:hAnsi="Calibri"/>
          <w:b w:val="0"/>
          <w:i/>
          <w:color w:val="7A8B98"/>
          <w:sz w:val="19"/>
        </w:rPr>
        <w:t>The system runs in production on a single cloud server, collecting data nightly. The figures above are live database counts as of 3 September 2026, not projections.</w:t>
      </w:r>
    </w:p>
    <w:p>
      <w:pPr>
        <w:keepNext/>
        <w:spacing w:before="280" w:after="100"/>
      </w:pPr>
      <w:r>
        <w:rPr>
          <w:rFonts w:ascii="Georgia" w:hAnsi="Georgia"/>
          <w:b/>
          <w:i w:val="0"/>
          <w:color w:val="13324B"/>
          <w:sz w:val="30"/>
        </w:rPr>
        <w:t>2.  The problem, the audience, and how we validated it</w:t>
      </w:r>
    </w:p>
    <w:p>
      <w:pPr>
        <w:keepNext/>
        <w:spacing w:before="160" w:after="60"/>
      </w:pPr>
      <w:r>
        <w:rPr>
          <w:rFonts w:ascii="Calibri" w:hAnsi="Calibri"/>
          <w:b/>
          <w:i w:val="0"/>
          <w:color w:val="1B6E8F"/>
          <w:sz w:val="22"/>
        </w:rPr>
        <w:t>The problem</w:t>
      </w:r>
    </w:p>
    <w:p>
      <w:pPr>
        <w:spacing w:before="0" w:after="120"/>
      </w:pPr>
      <w:r>
        <w:rPr>
          <w:rFonts w:ascii="Calibri" w:hAnsi="Calibri"/>
          <w:b w:val="0"/>
          <w:i w:val="0"/>
          <w:color w:val="2E4050"/>
          <w:sz w:val="21"/>
        </w:rPr>
        <w:t>A large share of the “Israeli” online stores advertised on Facebook and Instagram are dropshipping fronts. The operator holds no inventory: when an order arrives, the item is bought from AliExpress or a similar marketplace and shipped directly to the customer, typically at three to five times the original price. The markup itself is not the problem (resale is legitimate), but the deception around it is. These storefronts are built to appear local and established: Hebrew copy, Israeli-sounding names, fabricated countdown timers, invented review counts, and no reachable human behind the contact page. Customers wait weeks for delivery, receive goods that do not match the listing, and find no route to a refund.</w:t>
      </w:r>
    </w:p>
    <w:p>
      <w:pPr>
        <w:spacing w:before="0" w:after="120"/>
      </w:pPr>
      <w:r>
        <w:rPr>
          <w:rFonts w:ascii="Calibri" w:hAnsi="Calibri"/>
          <w:b w:val="0"/>
          <w:i w:val="0"/>
          <w:color w:val="2E4050"/>
          <w:sz w:val="21"/>
        </w:rPr>
        <w:t>The structural difficulty is domain churn. These operations rotate domains faster than any blocklist can be maintained; by the time a shop has accumulated complaints, it has been abandoned and replaced. The defender’s problem is therefore not identifying bad shops: it is identifying them before they have a history, which means finding them at the point of customer acquisition rather than the point of complaint.</w:t>
      </w:r>
    </w:p>
    <w:p>
      <w:pPr>
        <w:keepNext/>
        <w:spacing w:before="160" w:after="60"/>
      </w:pPr>
      <w:r>
        <w:rPr>
          <w:rFonts w:ascii="Calibri" w:hAnsi="Calibri"/>
          <w:b/>
          <w:i w:val="0"/>
          <w:color w:val="1B6E8F"/>
          <w:sz w:val="22"/>
        </w:rPr>
        <w:t>Target audience</w:t>
      </w:r>
    </w:p>
    <w:p>
      <w:pPr>
        <w:spacing w:before="0" w:after="120"/>
      </w:pPr>
      <w:r>
        <w:rPr>
          <w:rFonts w:ascii="Calibri" w:hAnsi="Calibri"/>
          <w:b w:val="0"/>
          <w:i w:val="0"/>
          <w:color w:val="2E4050"/>
          <w:sz w:val="21"/>
        </w:rPr>
        <w:t>The primary audience is Israeli shoppers who buy from stores discovered through social advertising: skewing mobile, impulse purchases in the ₪50-₪300 range, and little habit of verifying a merchant before checkout. A secondary audience is deliberate shoppers who already suspect a store but have no efficient way to confirm it; for them Adora replaces ten minutes of manual investigation with an immediate answer and a concrete price comparison.</w:t>
      </w:r>
    </w:p>
    <w:p>
      <w:pPr>
        <w:keepNext/>
        <w:spacing w:before="160" w:after="60"/>
      </w:pPr>
      <w:r>
        <w:rPr>
          <w:rFonts w:ascii="Calibri" w:hAnsi="Calibri"/>
          <w:b/>
          <w:i w:val="0"/>
          <w:color w:val="1B6E8F"/>
          <w:sz w:val="22"/>
        </w:rPr>
        <w:t>Validation of the need</w:t>
      </w:r>
    </w:p>
    <w:p>
      <w:pPr>
        <w:spacing w:before="0" w:after="120"/>
      </w:pPr>
      <w:r>
        <w:rPr>
          <w:rFonts w:ascii="Calibri" w:hAnsi="Calibri"/>
          <w:b w:val="0"/>
          <w:i w:val="0"/>
          <w:color w:val="2E4050"/>
          <w:sz w:val="21"/>
        </w:rPr>
        <w:t>Qualitative. The project began from repeated cases in our own circle: friends and family who bought from these storefronts and discovered afterwards, through the packaging or shipping origin, that they had paid a large multiple over the marketplace price. Informal evidence, but consistent enough in shape to indicate a widespread pattern.</w:t>
      </w:r>
    </w:p>
    <w:p>
      <w:pPr>
        <w:spacing w:before="0" w:after="120"/>
      </w:pPr>
      <w:r>
        <w:rPr>
          <w:rFonts w:ascii="Calibri" w:hAnsi="Calibri"/>
          <w:b w:val="0"/>
          <w:i w:val="0"/>
          <w:color w:val="2E4050"/>
          <w:sz w:val="21"/>
        </w:rPr>
        <w:t>Quantitative. The stronger validation is the system’s own output: rather than asking whether the problem exists, we built the pipeline and measured it. Of roughly 9,800 advertisers analysed from real Israeli-targeted advertising, 1,304 were classified as dropshipping operations and a further 1,469 as uncertain, about 28% showing characteristics from suspicious to clearly deceptive. 661 domains scored above our risk threshold, and for 542 of them we independently located the same product on a marketplace at a materially lower price. This measures the actual advertising population rather than stated intent. Structured user research (surveys and interviews) is a planned next step.</w:t>
      </w:r>
    </w:p>
    <w:p>
      <w:pPr>
        <w:spacing w:before="0" w:after="120"/>
      </w:pPr>
      <w:r>
        <w:rPr>
          <w:rFonts w:ascii="Calibri" w:hAnsi="Calibri"/>
          <w:b w:val="0"/>
          <w:i/>
          <w:color w:val="7A8B98"/>
          <w:sz w:val="19"/>
        </w:rPr>
        <w:t>A constraint on these figures: collection was suspended for roughly six months (March-September 2026) when the college budget for the AI analysis stage ran out, so the counts reflect about half the planned collection period. The limit was financial, not technical: collection resumed unchanged once restarted.</w:t>
      </w:r>
    </w:p>
    <w:p>
      <w:pPr>
        <w:keepNext/>
        <w:spacing w:before="280" w:after="100"/>
      </w:pPr>
      <w:r>
        <w:rPr>
          <w:rFonts w:ascii="Georgia" w:hAnsi="Georgia"/>
          <w:b/>
          <w:i w:val="0"/>
          <w:color w:val="13324B"/>
          <w:sz w:val="30"/>
        </w:rPr>
        <w:t>3.  The product and the value it delivers</w:t>
      </w:r>
    </w:p>
    <w:p>
      <w:pPr>
        <w:spacing w:before="0" w:after="120"/>
      </w:pPr>
      <w:r>
        <w:rPr>
          <w:rFonts w:ascii="Calibri" w:hAnsi="Calibri"/>
          <w:b w:val="0"/>
          <w:i w:val="0"/>
          <w:color w:val="2E4050"/>
          <w:sz w:val="21"/>
        </w:rPr>
        <w:t>The user installs the extension once and then forgets it. On the overwhelming majority of sites nothing happens at all. When the user lands on a flagged storefront, a warning banner appears explaining the verdict and, where available, showing the same product on a marketplace with its actual price. The popup shows the detailed assessment and its evidence, and signed-in users can vote to agree or disagree with the verdict. The value proposition is deliberately narrow and concrete: the user learns what the item actually costs, while there is still time to decide. Adora does not block the purchase. Buying a marketplace product from a reseller is a legitimate choice; making that choice without knowing is not.</w:t>
      </w:r>
    </w:p>
    <w:p>
      <w:pPr>
        <w:spacing w:before="0" w:after="60"/>
      </w:pPr>
      <w:r>
        <w:rPr>
          <w:rFonts w:ascii="Calibri" w:hAnsi="Calibri"/>
          <w:b w:val="0"/>
          <w:i w:val="0"/>
          <w:color w:val="2E4050"/>
          <w:sz w:val="21"/>
        </w:rPr>
        <w:t>Behind the extension, four automated stages run without user involvement:</w:t>
      </w:r>
    </w:p>
    <w:p>
      <w:pPr>
        <w:spacing w:after="80"/>
        <w:ind w:left="317"/>
      </w:pPr>
      <w:r>
        <w:rPr>
          <w:rFonts w:ascii="Calibri" w:hAnsi="Calibri"/>
          <w:b/>
          <w:i w:val="0"/>
          <w:color w:val="1B6E8F"/>
          <w:sz w:val="21"/>
        </w:rPr>
        <w:t xml:space="preserve">•  </w:t>
      </w:r>
      <w:r>
        <w:rPr>
          <w:rFonts w:ascii="Calibri" w:hAnsi="Calibri"/>
          <w:b/>
          <w:i w:val="0"/>
          <w:color w:val="2E4050"/>
          <w:sz w:val="21"/>
        </w:rPr>
        <w:t xml:space="preserve">Collection. </w:t>
      </w:r>
      <w:r>
        <w:rPr>
          <w:rFonts w:ascii="Calibri" w:hAnsi="Calibri"/>
          <w:b w:val="0"/>
          <w:i w:val="0"/>
          <w:color w:val="2E4050"/>
          <w:sz w:val="21"/>
        </w:rPr>
        <w:t>Nightly jobs query Facebook’s public Ad Library for the Hebrew sale phrases these campaigns depend on, recording each advertiser and destination link.</w:t>
      </w:r>
    </w:p>
    <w:p>
      <w:pPr>
        <w:spacing w:after="80"/>
        <w:ind w:left="317"/>
      </w:pPr>
      <w:r>
        <w:rPr>
          <w:rFonts w:ascii="Calibri" w:hAnsi="Calibri"/>
          <w:b/>
          <w:i w:val="0"/>
          <w:color w:val="1B6E8F"/>
          <w:sz w:val="21"/>
        </w:rPr>
        <w:t xml:space="preserve">•  </w:t>
      </w:r>
      <w:r>
        <w:rPr>
          <w:rFonts w:ascii="Calibri" w:hAnsi="Calibri"/>
          <w:b/>
          <w:i w:val="0"/>
          <w:color w:val="2E4050"/>
          <w:sz w:val="21"/>
        </w:rPr>
        <w:t xml:space="preserve">Analysis. </w:t>
      </w:r>
      <w:r>
        <w:rPr>
          <w:rFonts w:ascii="Calibri" w:hAnsi="Calibri"/>
          <w:b w:val="0"/>
          <w:i w:val="0"/>
          <w:color w:val="2E4050"/>
          <w:sz w:val="21"/>
        </w:rPr>
        <w:t>Each new storefront is loaded and its landing page, shipping, returns and contact details are assessed by a language model, which classifies it (dropship / legitimate / service / uncertain), assigns a 0-1 risk score, and cites the evidence for its conclusion.</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Price matching. </w:t>
      </w:r>
      <w:r>
        <w:rPr>
          <w:rFonts w:ascii="Calibri" w:hAnsi="Calibri"/>
          <w:b w:val="0"/>
          <w:i w:val="0"/>
          <w:color w:val="2E4050"/>
          <w:sz w:val="21"/>
        </w:rPr>
        <w:t>Products on storefronts above the risk threshold are matched against marketplace listings, so the warning carries a real number rather than an opinion.</w:t>
      </w:r>
    </w:p>
    <w:p>
      <w:pPr>
        <w:spacing w:after="80"/>
        <w:ind w:left="317"/>
      </w:pPr>
      <w:r>
        <w:rPr>
          <w:rFonts w:ascii="Calibri" w:hAnsi="Calibri"/>
          <w:b/>
          <w:i w:val="0"/>
          <w:color w:val="1B6E8F"/>
          <w:sz w:val="21"/>
        </w:rPr>
        <w:t xml:space="preserve">•  </w:t>
      </w:r>
      <w:r>
        <w:rPr>
          <w:rFonts w:ascii="Calibri" w:hAnsi="Calibri"/>
          <w:b/>
          <w:i w:val="0"/>
          <w:color w:val="2E4050"/>
          <w:sz w:val="21"/>
        </w:rPr>
        <w:t xml:space="preserve">Delivery. </w:t>
      </w:r>
      <w:r>
        <w:rPr>
          <w:rFonts w:ascii="Calibri" w:hAnsi="Calibri"/>
          <w:b w:val="0"/>
          <w:i w:val="0"/>
          <w:color w:val="2E4050"/>
          <w:sz w:val="21"/>
        </w:rPr>
        <w:t>Results are served through an API, with a list of ~22,000 trusted domains compiled into the extension itself so ordinary browsing never generates a network request.</w:t>
      </w:r>
    </w:p>
    <w:p>
      <w:pPr>
        <w:spacing w:before="40" w:after="120"/>
      </w:pPr>
      <w:r>
        <w:rPr>
          <w:rFonts w:ascii="Calibri" w:hAnsi="Calibri"/>
          <w:b w:val="0"/>
          <w:i w:val="0"/>
          <w:color w:val="2E4050"/>
          <w:sz w:val="21"/>
        </w:rPr>
        <w:t>Privacy is a design property, not a policy promise: because the trusted-domain list ships inside the extension, most sites are resolved on the user’s own device, only unrecognised domains are ever queried, and answers are cached locally. Adora cannot build a browsing profile because it does not receive the browsing.</w:t>
      </w:r>
    </w:p>
    <w:p>
      <w:pPr>
        <w:keepNext/>
        <w:spacing w:before="280" w:after="100"/>
      </w:pPr>
      <w:r>
        <w:rPr>
          <w:rFonts w:ascii="Georgia" w:hAnsi="Georgia"/>
          <w:b/>
          <w:i w:val="0"/>
          <w:color w:val="13324B"/>
          <w:sz w:val="30"/>
        </w:rPr>
        <w:t>4.  Innovation and key advantages</w:t>
      </w:r>
    </w:p>
    <w:p>
      <w:pPr>
        <w:spacing w:after="80"/>
        <w:ind w:left="317"/>
      </w:pPr>
      <w:r>
        <w:rPr>
          <w:rFonts w:ascii="Calibri" w:hAnsi="Calibri"/>
          <w:b/>
          <w:i w:val="0"/>
          <w:color w:val="1B6E8F"/>
          <w:sz w:val="21"/>
        </w:rPr>
        <w:t xml:space="preserve">•  </w:t>
      </w:r>
      <w:r>
        <w:rPr>
          <w:rFonts w:ascii="Calibri" w:hAnsi="Calibri"/>
          <w:b/>
          <w:i w:val="0"/>
          <w:color w:val="2E4050"/>
          <w:sz w:val="21"/>
        </w:rPr>
        <w:t xml:space="preserve">Monitoring the acquisition channel, not the reputation trail. </w:t>
      </w:r>
      <w:r>
        <w:rPr>
          <w:rFonts w:ascii="Calibri" w:hAnsi="Calibri"/>
          <w:b w:val="0"/>
          <w:i w:val="0"/>
          <w:color w:val="2E4050"/>
          <w:sz w:val="21"/>
        </w:rPr>
        <w:t>The central innovation. Every comparable tool evaluates a site after users encounter it, using signals that need time to accumulate. Adora watches where these operations must expose themselves to function (their advertising), so a new domain is visible the day it starts spending, not after it starts disappointing. This structurally defeats domain churn.</w:t>
      </w:r>
    </w:p>
    <w:p>
      <w:pPr>
        <w:spacing w:after="80"/>
        <w:ind w:left="317"/>
      </w:pPr>
      <w:r>
        <w:rPr>
          <w:rFonts w:ascii="Calibri" w:hAnsi="Calibri"/>
          <w:b/>
          <w:i w:val="0"/>
          <w:color w:val="1B6E8F"/>
          <w:sz w:val="21"/>
        </w:rPr>
        <w:t xml:space="preserve">•  </w:t>
      </w:r>
      <w:r>
        <w:rPr>
          <w:rFonts w:ascii="Calibri" w:hAnsi="Calibri"/>
          <w:b/>
          <w:i w:val="0"/>
          <w:color w:val="2E4050"/>
          <w:sz w:val="21"/>
        </w:rPr>
        <w:t xml:space="preserve">Evidence-based classification with an explicit uncertainty class. </w:t>
      </w:r>
      <w:r>
        <w:rPr>
          <w:rFonts w:ascii="Calibri" w:hAnsi="Calibri"/>
          <w:b w:val="0"/>
          <w:i w:val="0"/>
          <w:color w:val="2E4050"/>
          <w:sz w:val="21"/>
        </w:rPr>
        <w:t>Every verdict must cite the specific text from the store’s own pages that supports it, making assessments auditable. Roughly 1,469 storefronts sit in the uncertain class rather than being forced into a binary judgement: the system abstains rather than risk falsely accusing a legitimate business.</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Price evidence instead of reputation opinion. </w:t>
      </w:r>
      <w:r>
        <w:rPr>
          <w:rFonts w:ascii="Calibri" w:hAnsi="Calibri"/>
          <w:b w:val="0"/>
          <w:i w:val="0"/>
          <w:color w:val="2E4050"/>
          <w:sz w:val="21"/>
        </w:rPr>
        <w:t>“This site looks untrustworthy” invites argument; “this exact product costs ₪39 and this store charges ₪189” does not. Marketplace matching converts a subjective warning into a verifiable fact.</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Privacy-preserving architecture. </w:t>
      </w:r>
      <w:r>
        <w:rPr>
          <w:rFonts w:ascii="Calibri" w:hAnsi="Calibri"/>
          <w:b w:val="0"/>
          <w:i w:val="0"/>
          <w:color w:val="2E4050"/>
          <w:sz w:val="21"/>
        </w:rPr>
        <w:t>The compiled 22,000-domain whitelist makes Adora a consumer-protection tool that does not surveil the consumer it protects, a meaningful differentiator in a category where extensions have repeatedly been caught monetising browsing data.</w:t>
      </w:r>
    </w:p>
    <w:p>
      <w:pPr>
        <w:spacing w:after="80"/>
        <w:ind w:left="317"/>
      </w:pPr>
      <w:r>
        <w:rPr>
          <w:rFonts w:ascii="Calibri" w:hAnsi="Calibri"/>
          <w:b/>
          <w:i w:val="0"/>
          <w:color w:val="1B6E8F"/>
          <w:sz w:val="21"/>
        </w:rPr>
        <w:t xml:space="preserve">•  </w:t>
      </w:r>
      <w:r>
        <w:rPr>
          <w:rFonts w:ascii="Calibri" w:hAnsi="Calibri"/>
          <w:b/>
          <w:i w:val="0"/>
          <w:color w:val="2E4050"/>
          <w:sz w:val="21"/>
        </w:rPr>
        <w:t xml:space="preserve">Single codebase across Chrome, Safari, and iOS. </w:t>
      </w:r>
      <w:r>
        <w:rPr>
          <w:rFonts w:ascii="Calibri" w:hAnsi="Calibri"/>
          <w:b w:val="0"/>
          <w:i w:val="0"/>
          <w:color w:val="2E4050"/>
          <w:sz w:val="21"/>
        </w:rPr>
        <w:t>The same source builds for Chrome and as a Safari Web Extension wrapped for iPhone, with capability differences resolved at runtime. Working protection inside mobile Safari is uncommon and matches where this audience actually shops.</w:t>
      </w:r>
    </w:p>
    <w:p>
      <w:pPr>
        <w:keepNext/>
        <w:spacing w:before="280" w:after="100"/>
      </w:pPr>
      <w:r>
        <w:rPr>
          <w:rFonts w:ascii="Georgia" w:hAnsi="Georgia"/>
          <w:b/>
          <w:i w:val="0"/>
          <w:color w:val="13324B"/>
          <w:sz w:val="30"/>
        </w:rPr>
        <w:t>5.  Competitors and alternative solutions</w:t>
      </w:r>
    </w:p>
    <w:p>
      <w:pPr>
        <w:spacing w:before="0" w:after="80"/>
      </w:pPr>
      <w:r>
        <w:rPr>
          <w:rFonts w:ascii="Calibri" w:hAnsi="Calibri"/>
          <w:b w:val="0"/>
          <w:i w:val="0"/>
          <w:color w:val="2E4050"/>
          <w:sz w:val="21"/>
        </w:rPr>
        <w:t>No direct competitor addresses this problem in this market. The alternatives are adjacent tools solving neighbouring problems, and each leaves the specific gap Adora fills:</w:t>
      </w:r>
    </w:p>
    <w:tbl>
      <w:tblPr>
        <w:tblStyle w:val="TableGrid"/>
        <w:tblW w:type="auto" w:w="0"/>
        <w:tblLook w:firstColumn="1" w:firstRow="1" w:lastColumn="0" w:lastRow="0" w:noHBand="0" w:noVBand="1" w:val="04A0"/>
      </w:tblPr>
      <w:tblGrid>
        <w:gridCol w:w="3154"/>
        <w:gridCol w:w="3154"/>
        <w:gridCol w:w="3154"/>
      </w:tblGrid>
      <w:tr>
        <w:tc>
          <w:tcPr>
            <w:tcW w:type="dxa" w:w="3024"/>
            <w:shd w:val="clear" w:fill="13324B"/>
          </w:tcPr>
          <w:p>
            <w:pPr>
              <w:spacing w:after="20"/>
            </w:pPr>
            <w:r>
              <w:rPr>
                <w:rFonts w:ascii="Consolas" w:hAnsi="Consolas"/>
                <w:b/>
                <w:i w:val="0"/>
                <w:color w:val="FFFFFF"/>
                <w:sz w:val="17"/>
              </w:rPr>
              <w:t>Alternative</w:t>
            </w:r>
          </w:p>
        </w:tc>
        <w:tc>
          <w:tcPr>
            <w:tcW w:type="dxa" w:w="2448"/>
            <w:shd w:val="clear" w:fill="13324B"/>
          </w:tcPr>
          <w:p>
            <w:pPr>
              <w:spacing w:after="20"/>
            </w:pPr>
            <w:r>
              <w:rPr>
                <w:rFonts w:ascii="Consolas" w:hAnsi="Consolas"/>
                <w:b/>
                <w:i w:val="0"/>
                <w:color w:val="FFFFFF"/>
                <w:sz w:val="17"/>
              </w:rPr>
              <w:t>What it does</w:t>
            </w:r>
          </w:p>
        </w:tc>
        <w:tc>
          <w:tcPr>
            <w:tcW w:type="dxa" w:w="3960"/>
            <w:shd w:val="clear" w:fill="13324B"/>
          </w:tcPr>
          <w:p>
            <w:pPr>
              <w:spacing w:after="20"/>
            </w:pPr>
            <w:r>
              <w:rPr>
                <w:rFonts w:ascii="Consolas" w:hAnsi="Consolas"/>
                <w:b/>
                <w:i w:val="0"/>
                <w:color w:val="FFFFFF"/>
                <w:sz w:val="17"/>
              </w:rPr>
              <w:t>Why it falls short here</w:t>
            </w:r>
          </w:p>
        </w:tc>
      </w:tr>
      <w:tr>
        <w:tc>
          <w:tcPr>
            <w:tcW w:type="dxa" w:w="3024"/>
          </w:tcPr>
          <w:p>
            <w:pPr>
              <w:spacing w:after="20"/>
            </w:pPr>
            <w:r>
              <w:rPr>
                <w:rFonts w:ascii="Calibri" w:hAnsi="Calibri"/>
                <w:b/>
                <w:i w:val="0"/>
                <w:color w:val="2E4050"/>
                <w:sz w:val="17"/>
              </w:rPr>
              <w:t>Scam-site checkers (Scamadviser, WOT)</w:t>
            </w:r>
          </w:p>
        </w:tc>
        <w:tc>
          <w:tcPr>
            <w:tcW w:type="dxa" w:w="2448"/>
          </w:tcPr>
          <w:p>
            <w:pPr>
              <w:spacing w:after="20"/>
            </w:pPr>
            <w:r>
              <w:rPr>
                <w:rFonts w:ascii="Calibri" w:hAnsi="Calibri"/>
                <w:b w:val="0"/>
                <w:i w:val="0"/>
                <w:color w:val="2E4050"/>
                <w:sz w:val="17"/>
              </w:rPr>
              <w:t>Domain reputation scores</w:t>
            </w:r>
          </w:p>
        </w:tc>
        <w:tc>
          <w:tcPr>
            <w:tcW w:type="dxa" w:w="3960"/>
          </w:tcPr>
          <w:p>
            <w:pPr>
              <w:spacing w:after="20"/>
            </w:pPr>
            <w:r>
              <w:rPr>
                <w:rFonts w:ascii="Calibri" w:hAnsi="Calibri"/>
                <w:b w:val="0"/>
                <w:i w:val="0"/>
                <w:color w:val="2E4050"/>
                <w:sz w:val="17"/>
              </w:rPr>
              <w:t>Need accumulated history; a three-week-old storefront is unrated, exactly the damage window</w:t>
            </w:r>
          </w:p>
        </w:tc>
      </w:tr>
      <w:tr>
        <w:tc>
          <w:tcPr>
            <w:tcW w:type="dxa" w:w="3024"/>
            <w:shd w:val="clear" w:fill="F0F5F8"/>
          </w:tcPr>
          <w:p>
            <w:pPr>
              <w:spacing w:after="20"/>
            </w:pPr>
            <w:r>
              <w:rPr>
                <w:rFonts w:ascii="Calibri" w:hAnsi="Calibri"/>
                <w:b/>
                <w:i w:val="0"/>
                <w:color w:val="2E4050"/>
                <w:sz w:val="17"/>
              </w:rPr>
              <w:t>Safe browsing (Chrome, Safari)</w:t>
            </w:r>
          </w:p>
        </w:tc>
        <w:tc>
          <w:tcPr>
            <w:tcW w:type="dxa" w:w="2448"/>
            <w:shd w:val="clear" w:fill="F0F5F8"/>
          </w:tcPr>
          <w:p>
            <w:pPr>
              <w:spacing w:after="20"/>
            </w:pPr>
            <w:r>
              <w:rPr>
                <w:rFonts w:ascii="Calibri" w:hAnsi="Calibri"/>
                <w:b w:val="0"/>
                <w:i w:val="0"/>
                <w:color w:val="2E4050"/>
                <w:sz w:val="17"/>
              </w:rPr>
              <w:t>Blocks malware and phishing</w:t>
            </w:r>
          </w:p>
        </w:tc>
        <w:tc>
          <w:tcPr>
            <w:tcW w:type="dxa" w:w="3960"/>
            <w:shd w:val="clear" w:fill="F0F5F8"/>
          </w:tcPr>
          <w:p>
            <w:pPr>
              <w:spacing w:after="20"/>
            </w:pPr>
            <w:r>
              <w:rPr>
                <w:rFonts w:ascii="Calibri" w:hAnsi="Calibri"/>
                <w:b w:val="0"/>
                <w:i w:val="0"/>
                <w:color w:val="2E4050"/>
                <w:sz w:val="17"/>
              </w:rPr>
              <w:t>A dropshipper is not malware; it ships a real product and never triggers these systems</w:t>
            </w:r>
          </w:p>
        </w:tc>
      </w:tr>
      <w:tr>
        <w:tc>
          <w:tcPr>
            <w:tcW w:type="dxa" w:w="3024"/>
          </w:tcPr>
          <w:p>
            <w:pPr>
              <w:spacing w:after="20"/>
            </w:pPr>
            <w:r>
              <w:rPr>
                <w:rFonts w:ascii="Calibri" w:hAnsi="Calibri"/>
                <w:b/>
                <w:i w:val="0"/>
                <w:color w:val="2E4050"/>
                <w:sz w:val="17"/>
              </w:rPr>
              <w:t>Review platforms (Trustpilot, Google)</w:t>
            </w:r>
          </w:p>
        </w:tc>
        <w:tc>
          <w:tcPr>
            <w:tcW w:type="dxa" w:w="2448"/>
          </w:tcPr>
          <w:p>
            <w:pPr>
              <w:spacing w:after="20"/>
            </w:pPr>
            <w:r>
              <w:rPr>
                <w:rFonts w:ascii="Calibri" w:hAnsi="Calibri"/>
                <w:b w:val="0"/>
                <w:i w:val="0"/>
                <w:color w:val="2E4050"/>
                <w:sz w:val="17"/>
              </w:rPr>
              <w:t>Aggregate customer experiences</w:t>
            </w:r>
          </w:p>
        </w:tc>
        <w:tc>
          <w:tcPr>
            <w:tcW w:type="dxa" w:w="3960"/>
          </w:tcPr>
          <w:p>
            <w:pPr>
              <w:spacing w:after="20"/>
            </w:pPr>
            <w:r>
              <w:rPr>
                <w:rFonts w:ascii="Calibri" w:hAnsi="Calibri"/>
                <w:b w:val="0"/>
                <w:i w:val="0"/>
                <w:color w:val="2E4050"/>
                <w:sz w:val="17"/>
              </w:rPr>
              <w:t>Lag the problem by definition, and are widely gamed on exactly these storefronts</w:t>
            </w:r>
          </w:p>
        </w:tc>
      </w:tr>
      <w:tr>
        <w:tc>
          <w:tcPr>
            <w:tcW w:type="dxa" w:w="3024"/>
            <w:shd w:val="clear" w:fill="F0F5F8"/>
          </w:tcPr>
          <w:p>
            <w:pPr>
              <w:spacing w:after="20"/>
            </w:pPr>
            <w:r>
              <w:rPr>
                <w:rFonts w:ascii="Calibri" w:hAnsi="Calibri"/>
                <w:b/>
                <w:i w:val="0"/>
                <w:color w:val="2E4050"/>
                <w:sz w:val="17"/>
              </w:rPr>
              <w:t>Israeli consumer Facebook groups</w:t>
            </w:r>
          </w:p>
        </w:tc>
        <w:tc>
          <w:tcPr>
            <w:tcW w:type="dxa" w:w="2448"/>
            <w:shd w:val="clear" w:fill="F0F5F8"/>
          </w:tcPr>
          <w:p>
            <w:pPr>
              <w:spacing w:after="20"/>
            </w:pPr>
            <w:r>
              <w:rPr>
                <w:rFonts w:ascii="Calibri" w:hAnsi="Calibri"/>
                <w:b w:val="0"/>
                <w:i w:val="0"/>
                <w:color w:val="2E4050"/>
                <w:sz w:val="17"/>
              </w:rPr>
              <w:t>Members warn each other</w:t>
            </w:r>
          </w:p>
        </w:tc>
        <w:tc>
          <w:tcPr>
            <w:tcW w:type="dxa" w:w="3960"/>
            <w:shd w:val="clear" w:fill="F0F5F8"/>
          </w:tcPr>
          <w:p>
            <w:pPr>
              <w:spacing w:after="20"/>
            </w:pPr>
            <w:r>
              <w:rPr>
                <w:rFonts w:ascii="Calibri" w:hAnsi="Calibri"/>
                <w:b w:val="0"/>
                <w:i w:val="0"/>
                <w:color w:val="2E4050"/>
                <w:sz w:val="17"/>
              </w:rPr>
              <w:t>Genuinely effective but manual, reactive, and unsearchable at the moment of purchase</w:t>
            </w:r>
          </w:p>
        </w:tc>
      </w:tr>
      <w:tr>
        <w:tc>
          <w:tcPr>
            <w:tcW w:type="dxa" w:w="3024"/>
          </w:tcPr>
          <w:p>
            <w:pPr>
              <w:spacing w:after="20"/>
            </w:pPr>
            <w:r>
              <w:rPr>
                <w:rFonts w:ascii="Calibri" w:hAnsi="Calibri"/>
                <w:b/>
                <w:i w:val="0"/>
                <w:color w:val="2E4050"/>
                <w:sz w:val="17"/>
              </w:rPr>
              <w:t>Price comparison (Zap and similar)</w:t>
            </w:r>
          </w:p>
        </w:tc>
        <w:tc>
          <w:tcPr>
            <w:tcW w:type="dxa" w:w="2448"/>
          </w:tcPr>
          <w:p>
            <w:pPr>
              <w:spacing w:after="20"/>
            </w:pPr>
            <w:r>
              <w:rPr>
                <w:rFonts w:ascii="Calibri" w:hAnsi="Calibri"/>
                <w:b w:val="0"/>
                <w:i w:val="0"/>
                <w:color w:val="2E4050"/>
                <w:sz w:val="17"/>
              </w:rPr>
              <w:t>Compare known retailers</w:t>
            </w:r>
          </w:p>
        </w:tc>
        <w:tc>
          <w:tcPr>
            <w:tcW w:type="dxa" w:w="3960"/>
          </w:tcPr>
          <w:p>
            <w:pPr>
              <w:spacing w:after="20"/>
            </w:pPr>
            <w:r>
              <w:rPr>
                <w:rFonts w:ascii="Calibri" w:hAnsi="Calibri"/>
                <w:b w:val="0"/>
                <w:i w:val="0"/>
                <w:color w:val="2E4050"/>
                <w:sz w:val="17"/>
              </w:rPr>
              <w:t>Unknown dropshipping domains are absent from the catalogue entirely</w:t>
            </w:r>
          </w:p>
        </w:tc>
      </w:tr>
      <w:tr>
        <w:tc>
          <w:tcPr>
            <w:tcW w:type="dxa" w:w="3024"/>
            <w:shd w:val="clear" w:fill="F0F5F8"/>
          </w:tcPr>
          <w:p>
            <w:pPr>
              <w:spacing w:after="20"/>
            </w:pPr>
            <w:r>
              <w:rPr>
                <w:rFonts w:ascii="Calibri" w:hAnsi="Calibri"/>
                <w:b/>
                <w:i w:val="0"/>
                <w:color w:val="2E4050"/>
                <w:sz w:val="17"/>
              </w:rPr>
              <w:t>Shopping extensions (Honey and similar)</w:t>
            </w:r>
          </w:p>
        </w:tc>
        <w:tc>
          <w:tcPr>
            <w:tcW w:type="dxa" w:w="2448"/>
            <w:shd w:val="clear" w:fill="F0F5F8"/>
          </w:tcPr>
          <w:p>
            <w:pPr>
              <w:spacing w:after="20"/>
            </w:pPr>
            <w:r>
              <w:rPr>
                <w:rFonts w:ascii="Calibri" w:hAnsi="Calibri"/>
                <w:b w:val="0"/>
                <w:i w:val="0"/>
                <w:color w:val="2E4050"/>
                <w:sz w:val="17"/>
              </w:rPr>
              <w:t>Coupons and cashback</w:t>
            </w:r>
          </w:p>
        </w:tc>
        <w:tc>
          <w:tcPr>
            <w:tcW w:type="dxa" w:w="3960"/>
            <w:shd w:val="clear" w:fill="F0F5F8"/>
          </w:tcPr>
          <w:p>
            <w:pPr>
              <w:spacing w:after="20"/>
            </w:pPr>
            <w:r>
              <w:rPr>
                <w:rFonts w:ascii="Calibri" w:hAnsi="Calibri"/>
                <w:b w:val="0"/>
                <w:i w:val="0"/>
                <w:color w:val="2E4050"/>
                <w:sz w:val="17"/>
              </w:rPr>
              <w:t>Aligned with completing the purchase, not preventing it; several monetise browsing data</w:t>
            </w:r>
          </w:p>
        </w:tc>
      </w:tr>
    </w:tbl>
    <w:p>
      <w:pPr>
        <w:spacing w:before="120" w:after="120"/>
      </w:pPr>
      <w:r>
        <w:rPr>
          <w:rFonts w:ascii="Calibri" w:hAnsi="Calibri"/>
          <w:b w:val="0"/>
          <w:i w:val="0"/>
          <w:color w:val="2E4050"/>
          <w:sz w:val="21"/>
        </w:rPr>
        <w:t>The common thread is timing: every alternative operates too late, on the wrong signal, or with an incentive that is not the shopper’s. Adora sits at the one point where a warning is both early enough and specific enough to change the decision.</w:t>
      </w:r>
    </w:p>
    <w:p>
      <w:pPr>
        <w:keepNext/>
        <w:spacing w:before="280" w:after="100"/>
      </w:pPr>
      <w:r>
        <w:rPr>
          <w:rFonts w:ascii="Georgia" w:hAnsi="Georgia"/>
          <w:b/>
          <w:i w:val="0"/>
          <w:color w:val="13324B"/>
          <w:sz w:val="30"/>
        </w:rPr>
        <w:t>6.  Target market and market potential</w:t>
      </w:r>
    </w:p>
    <w:p>
      <w:pPr>
        <w:spacing w:before="0" w:after="120"/>
      </w:pPr>
      <w:r>
        <w:rPr>
          <w:rFonts w:ascii="Calibri" w:hAnsi="Calibri"/>
          <w:b w:val="0"/>
          <w:i w:val="0"/>
          <w:color w:val="2E4050"/>
          <w:sz w:val="21"/>
        </w:rPr>
        <w:t>We size the opportunity from what we can defend with our own measurements rather than third-party estimates. From just six Hebrew keywords we identified 11,707 distinct advertisers targeting Israeli consumers, of which ~9,800 were analysed and 661 domains confirmed above the risk threshold. This is a floor, not a ceiling: the keyword list is trivially extensible, and collection covered only about half of the planned period (see Chapter 2).</w:t>
      </w:r>
    </w:p>
    <w:p>
      <w:pPr>
        <w:spacing w:before="0" w:after="120"/>
      </w:pPr>
      <w:r>
        <w:rPr>
          <w:rFonts w:ascii="Calibri" w:hAnsi="Calibri"/>
          <w:b w:val="0"/>
          <w:i w:val="0"/>
          <w:color w:val="2E4050"/>
          <w:sz w:val="21"/>
        </w:rPr>
        <w:t>The addressable user base is Israeli internet users who shop online and encounter social advertising : effectively the majority of the adult online population. Realistic near-term adoption concentrates among consumers already burned once or actively cautious, which our qualitative evidence suggests is a substantial and vocal group.</w:t>
      </w:r>
    </w:p>
    <w:p>
      <w:pPr>
        <w:spacing w:before="0" w:after="120"/>
      </w:pPr>
      <w:r>
        <w:rPr>
          <w:rFonts w:ascii="Calibri" w:hAnsi="Calibri"/>
          <w:b w:val="0"/>
          <w:i w:val="0"/>
          <w:color w:val="2E4050"/>
          <w:sz w:val="21"/>
        </w:rPr>
        <w:t>The model travels: nothing in the architecture is specific to Israel. The pipeline is parameterised by a keyword list and a trusted-domain list; adapting to another country is a configuration exercise, not a rebuild. Israel is a deliberate first market: small enough to cover thoroughly, linguistically distinct enough for a strong keyword signal.</w:t>
      </w:r>
    </w:p>
    <w:p>
      <w:pPr>
        <w:spacing w:before="0" w:after="120"/>
      </w:pPr>
      <w:r>
        <w:rPr>
          <w:rFonts w:ascii="Calibri" w:hAnsi="Calibri"/>
          <w:b w:val="0"/>
          <w:i/>
          <w:color w:val="7A8B98"/>
          <w:sz w:val="19"/>
        </w:rPr>
        <w:t>On commercial potential: Adora is currently a non-commercial academic project, free to use. Plausible routes if pursued include freemium features, licensing the risk database to consumer-protection bodies, payment providers or card issuers who absorb these disputes, and partnerships with legitimate marketplaces. We deliberately exclude affiliate revenue, which would compromise independence.</w:t>
      </w:r>
    </w:p>
    <w:p>
      <w:pPr>
        <w:keepNext/>
        <w:spacing w:before="280" w:after="100"/>
      </w:pPr>
      <w:r>
        <w:rPr>
          <w:rFonts w:ascii="Georgia" w:hAnsi="Georgia"/>
          <w:b/>
          <w:i w:val="0"/>
          <w:color w:val="13324B"/>
          <w:sz w:val="30"/>
        </w:rPr>
        <w:t>7.  Go-to-market strategy</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Phase 1: seed where the pain already is. </w:t>
      </w:r>
      <w:r>
        <w:rPr>
          <w:rFonts w:ascii="Calibri" w:hAnsi="Calibri"/>
          <w:b w:val="0"/>
          <w:i w:val="0"/>
          <w:color w:val="2E4050"/>
          <w:sz w:val="21"/>
        </w:rPr>
        <w:t>Israeli consumer-protection communities on Facebook, including groups that exist specifically to expose these storefronts: an engaged audience, personally affected, needing no education about the problem.</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Phase 2: official store distribution. </w:t>
      </w:r>
      <w:r>
        <w:rPr>
          <w:rFonts w:ascii="Calibri" w:hAnsi="Calibri"/>
          <w:b w:val="0"/>
          <w:i w:val="0"/>
          <w:color w:val="2E4050"/>
          <w:sz w:val="21"/>
        </w:rPr>
        <w:t>Publication on the Chrome Web Store and, via the iOS wrapper, the App Store: organic discovery plus the legitimacy a security-adjacent tool needs before people will install it.</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Phase 3: the community flywheel. </w:t>
      </w:r>
      <w:r>
        <w:rPr>
          <w:rFonts w:ascii="Calibri" w:hAnsi="Calibri"/>
          <w:b w:val="0"/>
          <w:i w:val="0"/>
          <w:color w:val="2E4050"/>
          <w:sz w:val="21"/>
        </w:rPr>
        <w:t>Signed-in users vote on verdicts and those votes feed the database: more users → better accuracy → more trust → more users. It also covers the pipeline’s blind spot: storefronts advertised through channels we do not monitor.</w:t>
      </w:r>
    </w:p>
    <w:p>
      <w:pPr>
        <w:spacing w:after="80"/>
        <w:ind w:left="317"/>
      </w:pPr>
      <w:r>
        <w:rPr>
          <w:rFonts w:ascii="Calibri" w:hAnsi="Calibri"/>
          <w:b/>
          <w:i w:val="0"/>
          <w:color w:val="1B6E8F"/>
          <w:sz w:val="21"/>
        </w:rPr>
        <w:t xml:space="preserve">•  </w:t>
      </w:r>
      <w:r>
        <w:rPr>
          <w:rFonts w:ascii="Calibri" w:hAnsi="Calibri"/>
          <w:b/>
          <w:i w:val="0"/>
          <w:color w:val="2E4050"/>
          <w:sz w:val="21"/>
        </w:rPr>
        <w:t xml:space="preserve">Phase 4: institutional partnerships. </w:t>
      </w:r>
      <w:r>
        <w:rPr>
          <w:rFonts w:ascii="Calibri" w:hAnsi="Calibri"/>
          <w:b w:val="0"/>
          <w:i w:val="0"/>
          <w:color w:val="2E4050"/>
          <w:sz w:val="21"/>
        </w:rPr>
        <w:t>Consumer-protection organisations, journalists and academic bodies have standing interest in this data; partnership provides credibility, distribution, and sustainability without monetising users.</w:t>
      </w:r>
    </w:p>
    <w:p>
      <w:pPr>
        <w:spacing w:before="40" w:after="120"/>
      </w:pPr>
      <w:r>
        <w:rPr>
          <w:rFonts w:ascii="Calibri" w:hAnsi="Calibri"/>
          <w:b w:val="0"/>
          <w:i w:val="0"/>
          <w:color w:val="2E4050"/>
          <w:sz w:val="21"/>
        </w:rPr>
        <w:t>Positioning: Adora is a consumer-protection tool, not a security product. The message is not “the internet is dangerous” but “know what you’re paying”: accurate, non-alarmist, and it travels by word of mouth.</w:t>
      </w:r>
    </w:p>
    <w:p>
      <w:pPr>
        <w:keepNext/>
        <w:spacing w:before="280" w:after="100"/>
      </w:pPr>
      <w:r>
        <w:rPr>
          <w:rFonts w:ascii="Georgia" w:hAnsi="Georgia"/>
          <w:b/>
          <w:i w:val="0"/>
          <w:color w:val="13324B"/>
          <w:sz w:val="30"/>
        </w:rPr>
        <w:t>8.  Team and responsibilities</w:t>
      </w:r>
    </w:p>
    <w:p>
      <w:pPr>
        <w:spacing w:before="0" w:after="120"/>
      </w:pPr>
      <w:r>
        <w:rPr>
          <w:rFonts w:ascii="Calibri" w:hAnsi="Calibri"/>
          <w:b w:val="0"/>
          <w:i w:val="0"/>
          <w:color w:val="2E4050"/>
          <w:sz w:val="21"/>
        </w:rPr>
        <w:t>Adora was built by a two-person team at the Academic College of Tel Aviv-Yaffo. Both members worked across the entire stack, with responsibility divided by feature rather than by technical layer: each taking a capability end to end, from data through to interface, and reviewing the other’s work. The pipeline, API and extension are tightly coupled, and both members can diagnose a failure anywhere in the system, which matters for a pipeline that runs unattended overnight.</w:t>
      </w:r>
    </w:p>
    <w:p>
      <w:pPr>
        <w:spacing w:after="80"/>
        <w:ind w:left="317"/>
      </w:pPr>
      <w:r>
        <w:rPr>
          <w:rFonts w:ascii="Calibri" w:hAnsi="Calibri"/>
          <w:b/>
          <w:i w:val="0"/>
          <w:color w:val="1B6E8F"/>
          <w:sz w:val="21"/>
        </w:rPr>
        <w:t xml:space="preserve">•  </w:t>
      </w:r>
      <w:r>
        <w:rPr>
          <w:rFonts w:ascii="Calibri" w:hAnsi="Calibri"/>
          <w:b/>
          <w:i w:val="0"/>
          <w:color w:val="2E4050"/>
          <w:sz w:val="21"/>
        </w:rPr>
        <w:t xml:space="preserve">Rani Maman, Full-stack development. </w:t>
      </w:r>
      <w:r>
        <w:rPr>
          <w:rFonts w:ascii="Calibri" w:hAnsi="Calibri"/>
          <w:b w:val="0"/>
          <w:i w:val="0"/>
          <w:color w:val="2E4050"/>
          <w:sz w:val="21"/>
        </w:rPr>
        <w:t>Data collection pipeline, analysis and scoring, the API, the browser extension, and production deployment.</w:t>
      </w:r>
    </w:p>
    <w:p>
      <w:pPr>
        <w:spacing w:after="80"/>
        <w:ind w:left="317"/>
      </w:pPr>
      <w:r>
        <w:rPr>
          <w:rFonts w:ascii="Calibri" w:hAnsi="Calibri"/>
          <w:b/>
          <w:i w:val="0"/>
          <w:color w:val="1B6E8F"/>
          <w:sz w:val="21"/>
        </w:rPr>
        <w:t xml:space="preserve">•  </w:t>
      </w:r>
      <w:r>
        <w:rPr>
          <w:rFonts w:ascii="Calibri" w:hAnsi="Calibri"/>
          <w:b/>
          <w:i w:val="0"/>
          <w:color w:val="2E4050"/>
          <w:sz w:val="21"/>
        </w:rPr>
        <w:t xml:space="preserve">Guy Yad Shalom, Full-stack development. </w:t>
      </w:r>
      <w:r>
        <w:rPr>
          <w:rFonts w:ascii="Calibri" w:hAnsi="Calibri"/>
          <w:b w:val="0"/>
          <w:i w:val="0"/>
          <w:color w:val="2E4050"/>
          <w:sz w:val="21"/>
        </w:rPr>
        <w:t>Same stack on a feature-ownership basis: the extension, backend services, and supporting infrastructure.</w:t>
      </w:r>
    </w:p>
    <w:p>
      <w:pPr>
        <w:keepNext/>
        <w:spacing w:before="160" w:after="60"/>
      </w:pPr>
      <w:r>
        <w:rPr>
          <w:rFonts w:ascii="Calibri" w:hAnsi="Calibri"/>
          <w:b/>
          <w:i w:val="0"/>
          <w:color w:val="1B6E8F"/>
          <w:sz w:val="22"/>
        </w:rPr>
        <w:t>Current status and next steps</w:t>
      </w:r>
    </w:p>
    <w:p>
      <w:pPr>
        <w:spacing w:before="0" w:after="120"/>
      </w:pPr>
      <w:r>
        <w:rPr>
          <w:rFonts w:ascii="Calibri" w:hAnsi="Calibri"/>
          <w:b w:val="0"/>
          <w:i w:val="0"/>
          <w:color w:val="2E4050"/>
          <w:sz w:val="21"/>
        </w:rPr>
        <w:t>The system is operational, collecting data nightly on production infrastructure. Immediate priorities: structured user research, publication to the Chrome Web Store and App Store, and keyword expansion to widen advertiser coverage. Principal known risks: platform rate limiting (the schedule is tuned to stay within it) and the ongoing cost of language-model analysis, which has already been the binding constraint once. Securing continuous funding for it is the prerequisite for uninterrupted operation.</w:t>
      </w:r>
    </w:p>
    <w:p>
      <w:pPr>
        <w:spacing w:before="120" w:after="120"/>
      </w:pPr>
      <w:r>
        <w:rPr>
          <w:rFonts w:ascii="Calibri" w:hAnsi="Calibri"/>
          <w:b w:val="0"/>
          <w:i/>
          <w:color w:val="7A8B98"/>
          <w:sz w:val="17"/>
        </w:rPr>
        <w:t>Figures cited are drawn from the production database and are current as of 3 September 2026. The system collects new data nightly, so counts increase over time.</w:t>
      </w:r>
    </w:p>
    <w:sectPr w:rsidR="00FC693F" w:rsidRPr="0006063C" w:rsidSect="00034616">
      <w:pgSz w:w="11909" w:h="16834"/>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E40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