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80"/>
        <w:jc w:val="center"/>
      </w:pPr>
      <w:r>
        <w:rPr>
          <w:rFonts w:ascii="Aptos" w:hAnsi="Aptos"/>
          <w:b/>
          <w:i w:val="0"/>
          <w:color w:val="0F4761"/>
          <w:sz w:val="56"/>
          <w:rFonts w:ascii="Aptos" w:hAnsi="Aptos"/>
        </w:rPr>
        <w:t>DATABRICKS ASSESSMENT REPORT</w:t>
      </w:r>
    </w:p>
    <w:p>
      <w:pPr>
        <w:pStyle w:val="Heading1"/>
        <w:spacing w:before="240" w:after="60"/>
      </w:pPr>
      <w:r>
        <w:rPr>
          <w:rFonts w:ascii="Aptos" w:hAnsi="Aptos"/>
          <w:b/>
          <w:i w:val="0"/>
          <w:color w:val="0F4761"/>
          <w:sz w:val="40"/>
          <w:rFonts w:ascii="Aptos" w:hAnsi="Aptos"/>
        </w:rPr>
        <w:t>1. Assessment Overview</w:t>
      </w:r>
    </w:p>
    <w:p>
      <w:pPr>
        <w:spacing w:after="80"/>
        <w:jc w:val="both"/>
      </w:pPr>
      <w:r>
        <w:rPr>
          <w:rFonts w:ascii="Aptos" w:hAnsi="Aptos"/>
          <w:b w:val="0"/>
          <w:i w:val="0"/>
          <w:sz w:val="24"/>
          <w:rFonts w:ascii="Aptos" w:hAnsi="Aptos"/>
        </w:rPr>
        <w:t>This report provides a comprehensive assessment of the scanned database structure, metadata properties, relationships, and sizing details. The findings help in planning a schema and data migration to Microsoft Fabric.</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Metric</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Columns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91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137275</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Data Size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4.54 MB</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Views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Stored Procedures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Functions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Volumes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Distinct Schemas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 core_banking</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Metadata Refresh Date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2026-09-08 15:50:38</w:t>
            </w:r>
          </w:p>
        </w:tc>
      </w:tr>
    </w:tbl>
    <w:p>
      <w:pPr>
        <w:pStyle w:val="Heading2"/>
        <w:spacing w:before="240" w:after="60"/>
      </w:pPr>
      <w:r>
        <w:rPr>
          <w:rFonts w:ascii="Aptos" w:hAnsi="Aptos"/>
          <w:b/>
          <w:i w:val="0"/>
          <w:color w:val="0F4761"/>
          <w:sz w:val="32"/>
          <w:rFonts w:ascii="Aptos" w:hAnsi="Aptos"/>
        </w:rPr>
        <w:t>Database Objects Inventory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Type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Schema</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Name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Detail</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Stored Procedure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sp_demo</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archive_old_orders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Compiled database stored procedure routine</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Volume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volumes_credit_card_details_ext</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MANAGED Storage Volume (Fabric OneLake)</w:t>
            </w:r>
          </w:p>
        </w:tc>
      </w:tr>
    </w:tbl>
    <w:p>
      <w:pPr>
        <w:pStyle w:val="Heading1"/>
        <w:spacing w:before="160" w:after="60"/>
      </w:pPr>
      <w:r>
        <w:rPr>
          <w:rFonts w:ascii="Aptos" w:hAnsi="Aptos"/>
          <w:b/>
          <w:i w:val="0"/>
          <w:color w:val="0F4761"/>
          <w:sz w:val="40"/>
          <w:rFonts w:ascii="Aptos" w:hAnsi="Aptos"/>
        </w:rPr>
        <w:t>2. Assessment Scope</w:t>
      </w:r>
    </w:p>
    <w:p>
      <w:pPr>
        <w:spacing w:after="80"/>
        <w:jc w:val="both"/>
      </w:pPr>
      <w:r>
        <w:rPr>
          <w:rFonts w:ascii="Aptos" w:hAnsi="Aptos"/>
          <w:b w:val="0"/>
          <w:i w:val="0"/>
          <w:sz w:val="24"/>
          <w:rFonts w:ascii="Aptos" w:hAnsi="Aptos"/>
        </w:rPr>
        <w:t>The assessment scope includes the scanning and analysis of the source database. A total of 5 table(s) across 2 schema(s) have been analyzed for migration compatibility and structural integrity.</w:t>
      </w:r>
    </w:p>
    <w:p>
      <w:pPr>
        <w:pStyle w:val="Heading1"/>
        <w:spacing w:before="160" w:after="60"/>
      </w:pPr>
      <w:r>
        <w:rPr>
          <w:rFonts w:ascii="Aptos" w:hAnsi="Aptos"/>
          <w:b/>
          <w:i w:val="0"/>
          <w:color w:val="0F4761"/>
          <w:sz w:val="40"/>
          <w:rFonts w:ascii="Aptos" w:hAnsi="Aptos"/>
        </w:rPr>
        <w:t>3. Source Database Summary</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Parameter</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 System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Databricks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Target System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Microsoft Fabric</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Number of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Schemas Evaluated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 core_banking</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Assessment Status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Completed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Assessment Engine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AI Migrator Pipeline</w:t>
            </w:r>
          </w:p>
        </w:tc>
      </w:tr>
    </w:tbl>
    <w:p>
      <w:pPr>
        <w:pStyle w:val="Heading1"/>
        <w:spacing w:before="160" w:after="60"/>
      </w:pPr>
      <w:r>
        <w:rPr>
          <w:rFonts w:ascii="Aptos" w:hAnsi="Aptos"/>
          <w:b/>
          <w:i w:val="0"/>
          <w:color w:val="0F4761"/>
          <w:sz w:val="40"/>
          <w:rFonts w:ascii="Aptos" w:hAnsi="Aptos"/>
        </w:rPr>
        <w:t>4. Overall Status &amp; Key Findings</w:t>
      </w:r>
    </w:p>
    <w:p>
      <w:pPr>
        <w:pStyle w:val="Heading2"/>
        <w:spacing w:before="120" w:after="60"/>
      </w:pPr>
      <w:r>
        <w:rPr>
          <w:rFonts w:ascii="Aptos" w:hAnsi="Aptos"/>
          <w:b/>
          <w:i w:val="0"/>
          <w:color w:val="0F4761"/>
          <w:sz w:val="32"/>
          <w:rFonts w:ascii="Aptos" w:hAnsi="Aptos"/>
        </w:rPr>
        <w:t>Overall Status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Status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Status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Metadata Extraction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Completed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Schema Validation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Validated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Relationship Identification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Identified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Complexity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Analyzed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Migration Planning</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Ready</w:t>
            </w:r>
          </w:p>
        </w:tc>
      </w:tr>
    </w:tbl>
    <w:p>
      <w:pPr>
        <w:pStyle w:val="Heading2"/>
        <w:spacing w:before="120" w:after="60"/>
      </w:pPr>
      <w:r>
        <w:rPr>
          <w:rFonts w:ascii="Aptos" w:hAnsi="Aptos"/>
          <w:b/>
          <w:i w:val="0"/>
          <w:color w:val="0F4761"/>
          <w:sz w:val="32"/>
          <w:rFonts w:ascii="Aptos" w:hAnsi="Aptos"/>
        </w:rPr>
        <w:t>Key Findings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Description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Metadata Scan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Successfully scanned tables, columns, and data types from the database.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Profile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Evaluated data footprint and row counts for all tables.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Integrity Constraints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Analyzed primary and foreign key candidate definitions.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Execution Path</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Determined execution topology and batching sequence.</w:t>
            </w:r>
          </w:p>
        </w:tc>
      </w:tr>
    </w:tbl>
    <w:p>
      <w:pPr>
        <w:pStyle w:val="Heading1"/>
        <w:spacing w:before="160" w:after="60"/>
      </w:pPr>
      <w:r>
        <w:rPr>
          <w:rFonts w:ascii="Aptos" w:hAnsi="Aptos"/>
          <w:b/>
          <w:i w:val="0"/>
          <w:color w:val="0F4761"/>
          <w:sz w:val="40"/>
          <w:rFonts w:ascii="Aptos" w:hAnsi="Aptos"/>
        </w:rPr>
        <w:t>5. Object-Wise Assessment</w:t>
      </w:r>
    </w:p>
    <w:p>
      <w:pPr>
        <w:pStyle w:val="Heading2"/>
        <w:spacing w:before="240" w:after="60"/>
      </w:pPr>
      <w:r>
        <w:rPr>
          <w:rFonts w:ascii="Aptos" w:hAnsi="Aptos"/>
          <w:b/>
          <w:i w:val="0"/>
          <w:color w:val="0F4761"/>
          <w:sz w:val="32"/>
          <w:rFonts w:ascii="Aptos" w:hAnsi="Aptos"/>
        </w:rPr>
        <w:t>5.1 dim_card</w:t>
      </w:r>
    </w:p>
    <w:p>
      <w:pPr>
        <w:spacing w:after="80"/>
        <w:jc w:val="both"/>
      </w:pPr>
      <w:r>
        <w:rPr>
          <w:rFonts w:ascii="Aptos" w:hAnsi="Aptos"/>
          <w:b w:val="0"/>
          <w:i w:val="0"/>
          <w:sz w:val="24"/>
          <w:rFonts w:ascii="Aptos" w:hAnsi="Aptos"/>
        </w:rPr>
        <w:t>The table cards.dim_card is mapped to Microsoft Fabric. Below is the parsed column list and findings observation.</w:t>
      </w:r>
    </w:p>
    <w:p>
      <w:pPr>
        <w:spacing w:after="80"/>
        <w:jc w:val="both"/>
      </w:pPr>
      <w:r>
        <w:rPr>
          <w:b/>
        </w:rPr>
        <w:t xml:space="preserve">Observations: </w:t>
      </w:r>
      <w:r>
        <w:t>dim_card contains 23 columns with a mix of identifiers, card attributes, key dates, and numeric limit/balance measures (DOUBLE), plus reward_points (INT). The table uses a composite primary key on card_id and customer_id, and no foreign keys are defined in the provided metadata. Two downstream fact tables (fact_card_transaction and fact_dispute) depend on dim_card, indicating it is used as a core reference/dimension source for those datasets.</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card_number_masked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card_network</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product_name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cardholder_name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issue_date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expiry_date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cvv_stored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credit_limit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available_limit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cash_limit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current_outstanding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min_amount_due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total_amount_due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statement_date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payment_due_date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reward_points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is_contactless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is_international_enabled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4000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0.20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 customer_id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fact_card_transaction, fact_dispute</w:t>
            </w:r>
          </w:p>
        </w:tc>
      </w:tr>
    </w:tbl>
    <w:p>
      <w:pPr>
        <w:pStyle w:val="Heading2"/>
        <w:spacing w:before="240" w:after="60"/>
      </w:pPr>
      <w:r>
        <w:rPr>
          <w:rFonts w:ascii="Aptos" w:hAnsi="Aptos"/>
          <w:b/>
          <w:i w:val="0"/>
          <w:color w:val="0F4761"/>
          <w:sz w:val="32"/>
          <w:rFonts w:ascii="Aptos" w:hAnsi="Aptos"/>
        </w:rPr>
        <w:t>5.2 fact_card_transaction</w:t>
      </w:r>
    </w:p>
    <w:p>
      <w:pPr>
        <w:spacing w:after="80"/>
        <w:jc w:val="both"/>
      </w:pPr>
      <w:r>
        <w:rPr>
          <w:rFonts w:ascii="Aptos" w:hAnsi="Aptos"/>
          <w:b w:val="0"/>
          <w:i w:val="0"/>
          <w:sz w:val="24"/>
          <w:rFonts w:ascii="Aptos" w:hAnsi="Aptos"/>
        </w:rPr>
        <w:t>The table cards.fact_card_transaction is mapped to Microsoft Fabric. Below is the parsed column list and findings observation.</w:t>
      </w:r>
    </w:p>
    <w:p>
      <w:pPr>
        <w:spacing w:after="80"/>
        <w:jc w:val="both"/>
      </w:pPr>
      <w:r>
        <w:rPr>
          <w:b/>
        </w:rPr>
        <w:t xml:space="preserve">Observations: </w:t>
      </w:r>
      <w:r>
        <w:t>This is a 22-column transactional fact-style table centered on card activity, with both event timing (txn_timestamp) and settlement timing (posting_date) fields. It defines a composite primary key across card_txn_id, card_id, customer_id, and merchant_id, indicating uniqueness is expected at the combination of transaction and participant identifiers. The only declared relationship is a foreign key from card_id to dim_card, and there are no downstream dependent tables, views, or stored procedures listed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posting_date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currency_code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billing_amount_inr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fx_rate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merchant_category_code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merchant_city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merchant_country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entry_mode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auth_code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approval_status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decline_reason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is_international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is_emi_converted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fraud_score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is_fraud_flagged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125000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3.89 MB (Large)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card_txn_id, card_id, customer_id, merchant_id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FK_fact_card_transaction_card_id_dim_card → dim_card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5.3 fact_dispute</w:t>
      </w:r>
    </w:p>
    <w:p>
      <w:pPr>
        <w:spacing w:after="80"/>
        <w:jc w:val="both"/>
      </w:pPr>
      <w:r>
        <w:rPr>
          <w:rFonts w:ascii="Aptos" w:hAnsi="Aptos"/>
          <w:b w:val="0"/>
          <w:i w:val="0"/>
          <w:sz w:val="24"/>
          <w:rFonts w:ascii="Aptos" w:hAnsi="Aptos"/>
        </w:rPr>
        <w:t>The table cards.fact_dispute is mapped to Microsoft Fabric. Below is the parsed column list and findings observation.</w:t>
      </w:r>
    </w:p>
    <w:p>
      <w:pPr>
        <w:spacing w:after="80"/>
        <w:jc w:val="both"/>
      </w:pPr>
      <w:r>
        <w:rPr>
          <w:b/>
        </w:rPr>
        <w:t xml:space="preserve">Observations: </w:t>
      </w:r>
      <w:r>
        <w:t>fact_dispute is a small, managed base table with 15 columns and a composite primary key spanning dispute, card, transaction, and analyst identifiers. It has a single foreign key on card_id that references dim_card, indicating card details are maintained in the referenced dimension rather than duplicated here. No dependent tables, related views, or stored procedures are recorded in the provided metadata, suggesting limited downstream object coupling captured at this layer.</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dispute_id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raised_date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dispute_amount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reason_code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reason_description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dispute_status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chargeback_stage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resolution_date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resolved_in_favour_of</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provisional_credit_given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recovery_amount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analyst_id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sla_breached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250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0.01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dispute_id, card_id, card_txn_id, analyst_id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FK_fact_dispute_card_id_dim_card → dim_card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5.4 dim_account</w:t>
      </w:r>
    </w:p>
    <w:p>
      <w:pPr>
        <w:spacing w:after="80"/>
        <w:jc w:val="both"/>
      </w:pPr>
      <w:r>
        <w:rPr>
          <w:rFonts w:ascii="Aptos" w:hAnsi="Aptos"/>
          <w:b w:val="0"/>
          <w:i w:val="0"/>
          <w:sz w:val="24"/>
          <w:rFonts w:ascii="Aptos" w:hAnsi="Aptos"/>
        </w:rPr>
        <w:t>The table core_banking.dim_account is mapped to Microsoft Fabric. Below is the parsed column list and findings observation.</w:t>
      </w:r>
    </w:p>
    <w:p>
      <w:pPr>
        <w:spacing w:after="80"/>
        <w:jc w:val="both"/>
      </w:pPr>
      <w:r>
        <w:rPr>
          <w:b/>
        </w:rPr>
        <w:t xml:space="preserve">Observations: </w:t>
      </w:r>
      <w:r>
        <w:t>dim_account is a compact base table (8000 rows, 0.37 MB) with 20 columns combining identifier attributes (account, customer, branch) plus dates and multiple balance/limit/rate measures stored as DOUBLE. It enforces a composite primary key on account_id, customer_id, and branch_id and has a single foreign key on branch_id referencing dim_branch. No dependent tables, related views, or related stored procedures are registered for this table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account_number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iban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ifsc_code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account_type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product_code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currency_code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open_date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close_date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current_balance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available_balance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avg_monthly_balance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overdraft_limit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interest_rate_pct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account_status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last_txn_date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is_dormant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nominee_name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8000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0.37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account_id, customer_id, branch_id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FK_dim_account_branch_id_dim_branch → dim_branch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dim_branch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5.5 dim_branch</w:t>
      </w:r>
    </w:p>
    <w:p>
      <w:pPr>
        <w:spacing w:after="80"/>
        <w:jc w:val="both"/>
      </w:pPr>
      <w:r>
        <w:rPr>
          <w:rFonts w:ascii="Aptos" w:hAnsi="Aptos"/>
          <w:b w:val="0"/>
          <w:i w:val="0"/>
          <w:sz w:val="24"/>
          <w:rFonts w:ascii="Aptos" w:hAnsi="Aptos"/>
        </w:rPr>
        <w:t>The table core_banking.dim_branch is mapped to Microsoft Fabric. Below is the parsed column list and findings observation.</w:t>
      </w:r>
    </w:p>
    <w:p>
      <w:pPr>
        <w:spacing w:after="80"/>
        <w:jc w:val="both"/>
      </w:pPr>
      <w:r>
        <w:rPr>
          <w:b/>
        </w:rPr>
        <w:t xml:space="preserve">Observations: </w:t>
      </w:r>
      <w:r>
        <w:t>dim_branch is a small base table (25 rows, 0.07 MB) with 11 columns, primarily STRING attributes plus a single DATE field (opened_date). It has a single-column primary key (branch_id) and no foreign keys or referenced tables recorded in metadata. The table is used downstream by at least one dependent table, dim_account, indicating branch attributes are leveraged by other dimensional structures.</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ifsc_code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pincode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region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opened_date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is_active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25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0.07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dim_account</w:t>
            </w:r>
          </w:p>
        </w:tc>
      </w:tr>
    </w:tbl>
    <w:p>
      <w:pPr>
        <w:pStyle w:val="Heading2"/>
        <w:spacing w:before="240" w:after="60"/>
      </w:pPr>
      <w:r>
        <w:rPr>
          <w:rFonts w:ascii="Aptos" w:hAnsi="Aptos"/>
          <w:b/>
          <w:i w:val="0"/>
          <w:color w:val="0F4761"/>
          <w:sz w:val="32"/>
          <w:rFonts w:ascii="Aptos" w:hAnsi="Aptos"/>
        </w:rPr>
        <w:t>5.6 archive_old_orders</w:t>
      </w:r>
    </w:p>
    <w:p>
      <w:pPr>
        <w:spacing w:after="80"/>
        <w:jc w:val="both"/>
      </w:pPr>
      <w:r>
        <w:rPr>
          <w:rFonts w:ascii="Aptos" w:hAnsi="Aptos"/>
          <w:b w:val="0"/>
          <w:i w:val="0"/>
          <w:sz w:val="24"/>
          <w:rFonts w:ascii="Aptos" w:hAnsi="Aptos"/>
        </w:rPr>
        <w:t>The procedure sp_demo.archive_old_orders is mapped to Microsoft Fabric. This is a STORED PROCEDURE object; it has no columns of its own.</w:t>
      </w:r>
    </w:p>
    <w:p>
      <w:pPr>
        <w:spacing w:after="80"/>
        <w:jc w:val="both"/>
      </w:pPr>
      <w:r>
        <w:rPr>
          <w:b/>
        </w:rPr>
        <w:t xml:space="preserve">Observations: </w:t>
      </w:r>
      <w:r>
        <w:t>This metadata identifies a stored procedure named archive_old_orders in the sp_demo schema. No parameters, return type, or dependency relationships are provided in the available metadata. No related tables, views, or functions are indicated.</w:t>
      </w:r>
    </w:p>
    <w:p>
      <w:pPr>
        <w:spacing w:after="80"/>
        <w:jc w:val="both"/>
      </w:pPr>
      <w:r>
        <w:rPr>
          <w:rFonts w:ascii="Aptos" w:hAnsi="Aptos"/>
          <w:b w:val="0"/>
          <w:i w:val="0"/>
          <w:sz w:val="24"/>
          <w:rFonts w:ascii="Aptos" w:hAnsi="Aptos"/>
        </w:rPr>
        <w:t>Object Details: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Property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Object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Stored Procedure</w:t>
            </w:r>
          </w:p>
        </w:tc>
      </w:tr>
    </w:tbl>
    <w:p>
      <w:pPr>
        <w:pStyle w:val="Heading2"/>
        <w:spacing w:before="240" w:after="60"/>
      </w:pPr>
      <w:r>
        <w:rPr>
          <w:rFonts w:ascii="Aptos" w:hAnsi="Aptos"/>
          <w:b/>
          <w:i w:val="0"/>
          <w:color w:val="0F4761"/>
          <w:sz w:val="32"/>
          <w:rFonts w:ascii="Aptos" w:hAnsi="Aptos"/>
        </w:rPr>
        <w:t>5.7 volumes_credit_card_details_ext</w:t>
      </w:r>
    </w:p>
    <w:p>
      <w:pPr>
        <w:spacing w:after="80"/>
        <w:jc w:val="both"/>
      </w:pPr>
      <w:r>
        <w:rPr>
          <w:rFonts w:ascii="Aptos" w:hAnsi="Aptos"/>
          <w:b w:val="0"/>
          <w:i w:val="0"/>
          <w:sz w:val="24"/>
          <w:rFonts w:ascii="Aptos" w:hAnsi="Aptos"/>
        </w:rPr>
        <w:t>The volume cards.volumes_credit_card_details_ext is mapped to Microsoft Fabric. This is a VOLUME object (Unity Catalog managed/external file storage), not a relational structure.</w:t>
      </w:r>
    </w:p>
    <w:p>
      <w:pPr>
        <w:spacing w:after="80"/>
        <w:jc w:val="both"/>
      </w:pPr>
      <w:r>
        <w:rPr>
          <w:b/>
        </w:rPr>
        <w:t xml:space="preserve">Observations: </w:t>
      </w:r>
      <w:r>
        <w:t>This object is a managed Unity Catalog volume named volumes_credit_card_details_ext within the cards schema. The storage location is not provided in the available metadata, so the underlying path cannot be confirmed from this report.</w:t>
      </w:r>
    </w:p>
    <w:p>
      <w:pPr>
        <w:spacing w:after="80"/>
        <w:jc w:val="both"/>
      </w:pPr>
      <w:r>
        <w:rPr>
          <w:rFonts w:ascii="Aptos" w:hAnsi="Aptos"/>
          <w:b w:val="0"/>
          <w:i w:val="0"/>
          <w:sz w:val="24"/>
          <w:rFonts w:ascii="Aptos" w:hAnsi="Aptos"/>
        </w:rPr>
        <w:t>Object Details: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Property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Object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Volume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Volume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Unknown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Storage Location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Unknown</w:t>
            </w:r>
          </w:p>
        </w:tc>
      </w:tr>
    </w:tbl>
    <w:p>
      <w:pPr>
        <w:pStyle w:val="Heading1"/>
        <w:spacing w:before="160" w:after="60"/>
      </w:pPr>
      <w:r>
        <w:rPr>
          <w:rFonts w:ascii="Aptos" w:hAnsi="Aptos"/>
          <w:b/>
          <w:i w:val="0"/>
          <w:color w:val="0F4761"/>
          <w:sz w:val="40"/>
          <w:rFonts w:ascii="Aptos" w:hAnsi="Aptos"/>
        </w:rPr>
        <w:t>6. Assessment Conclusion</w:t>
      </w:r>
    </w:p>
    <w:p>
      <w:pPr>
        <w:spacing w:after="80"/>
        <w:jc w:val="both"/>
      </w:pPr>
      <w:r>
        <w:rPr>
          <w:rFonts w:ascii="Aptos" w:hAnsi="Aptos"/>
          <w:b w:val="0"/>
          <w:i w:val="0"/>
          <w:sz w:val="24"/>
          <w:rFonts w:ascii="Aptos" w:hAnsi="Aptos"/>
        </w:rPr>
        <w:t>Based on the database assessment, the schema is well-defined and compatible with Microsoft Fabric lakehouse tables. The tables have been cataloged with clear constraints and load parameters. Sizing categories range from small to large, requiring appropriate ingestion batches.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