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80"/>
        <w:jc w:val="center"/>
      </w:pPr>
      <w:r>
        <w:rPr>
          <w:rFonts w:ascii="Aptos" w:hAnsi="Aptos"/>
          <w:b/>
          <w:i w:val="0"/>
          <w:color w:val="0F4761"/>
          <w:sz w:val="56"/>
          <w:rFonts w:ascii="Aptos" w:hAnsi="Aptos"/>
        </w:rPr>
        <w:t>DATABRICKS ASSESSMENT REPORT</w:t>
      </w:r>
    </w:p>
    <w:p>
      <w:pPr>
        <w:pStyle w:val="Heading1"/>
        <w:spacing w:before="240" w:after="60"/>
      </w:pPr>
      <w:r>
        <w:rPr>
          <w:rFonts w:ascii="Aptos" w:hAnsi="Aptos"/>
          <w:b/>
          <w:i w:val="0"/>
          <w:color w:val="0F4761"/>
          <w:sz w:val="40"/>
          <w:rFonts w:ascii="Aptos" w:hAnsi="Aptos"/>
        </w:rPr>
        <w:t>1. Assessment Overview</w:t>
      </w:r>
    </w:p>
    <w:p>
      <w:pPr>
        <w:spacing w:after="80"/>
        <w:jc w:val="both"/>
      </w:pPr>
      <w:r>
        <w:rPr>
          <w:rFonts w:ascii="Aptos" w:hAnsi="Aptos"/>
          <w:b w:val="0"/>
          <w:i w:val="0"/>
          <w:sz w:val="24"/>
          <w:rFonts w:ascii="Aptos" w:hAnsi="Aptos"/>
        </w:rPr>
        <w:t>This report provides a comprehensive assessment of the scanned database structure, metadata properties, relationships, and sizing details. The findings help in planning a schema and data migration to Microsoft Fabric.</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129000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Data Size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4.09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Refresh Date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2026-09-03 18:13:24</w:t>
            </w:r>
          </w:p>
        </w:tc>
      </w:tr>
    </w:tbl>
    <w:p>
      <w:pPr>
        <w:pStyle w:val="Heading2"/>
        <w:spacing w:before="240" w:after="60"/>
      </w:pPr>
      <w:r>
        <w:rPr>
          <w:rFonts w:ascii="Aptos" w:hAnsi="Aptos"/>
          <w:b/>
          <w:i w:val="0"/>
          <w:color w:val="0F4761"/>
          <w:sz w:val="32"/>
          <w:rFonts w:ascii="Aptos" w:hAnsi="Aptos"/>
        </w:rPr>
        <w:t>Database Objects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Schema</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Detail</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archived_orders_view</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Relational SQL database view</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Stored Procedure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sp_demo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archive_old_orders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Compiled database stored procedure routine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credit_card_details_ext_vol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MANAGED Storage Volume (Fabric OneLake)</w:t>
            </w:r>
          </w:p>
        </w:tc>
      </w:tr>
    </w:tbl>
    <w:p>
      <w:pPr>
        <w:pStyle w:val="Heading1"/>
        <w:spacing w:before="160" w:after="60"/>
      </w:pPr>
      <w:r>
        <w:rPr>
          <w:rFonts w:ascii="Aptos" w:hAnsi="Aptos"/>
          <w:b/>
          <w:i w:val="0"/>
          <w:color w:val="0F4761"/>
          <w:sz w:val="40"/>
          <w:rFonts w:ascii="Aptos" w:hAnsi="Aptos"/>
        </w:rPr>
        <w:t>2. Assessment Scope</w:t>
      </w:r>
    </w:p>
    <w:p>
      <w:pPr>
        <w:spacing w:after="80"/>
        <w:jc w:val="both"/>
      </w:pPr>
      <w:r>
        <w:rPr>
          <w:rFonts w:ascii="Aptos" w:hAnsi="Aptos"/>
          <w:b w:val="0"/>
          <w:i w:val="0"/>
          <w:sz w:val="24"/>
          <w:rFonts w:ascii="Aptos" w:hAnsi="Aptos"/>
        </w:rPr>
        <w:t>The assessment scope includes the scanning and analysis of the source database. A total of 2 table(s) across 1 schema(s) have been analyzed for migration compatibility and structural integrity.</w:t>
      </w:r>
    </w:p>
    <w:p>
      <w:pPr>
        <w:pStyle w:val="Heading1"/>
        <w:spacing w:before="160" w:after="60"/>
      </w:pPr>
      <w:r>
        <w:rPr>
          <w:rFonts w:ascii="Aptos" w:hAnsi="Aptos"/>
          <w:b/>
          <w:i w:val="0"/>
          <w:color w:val="0F4761"/>
          <w:sz w:val="40"/>
          <w:rFonts w:ascii="Aptos" w:hAnsi="Aptos"/>
        </w:rPr>
        <w:t>3. Source Database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System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Number of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Schemas Evaluated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Status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Assessment Engine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AI Migrator Pipeline</w:t>
            </w:r>
          </w:p>
        </w:tc>
      </w:tr>
    </w:tbl>
    <w:p>
      <w:pPr>
        <w:pStyle w:val="Heading1"/>
        <w:spacing w:before="160" w:after="60"/>
      </w:pPr>
      <w:r>
        <w:rPr>
          <w:rFonts w:ascii="Aptos" w:hAnsi="Aptos"/>
          <w:b/>
          <w:i w:val="0"/>
          <w:color w:val="0F4761"/>
          <w:sz w:val="40"/>
          <w:rFonts w:ascii="Aptos" w:hAnsi="Aptos"/>
        </w:rPr>
        <w:t>4. Overall Status &amp; Key Findings</w:t>
      </w:r>
    </w:p>
    <w:p>
      <w:pPr>
        <w:pStyle w:val="Heading2"/>
        <w:spacing w:before="120" w:after="60"/>
      </w:pPr>
      <w:r>
        <w:rPr>
          <w:rFonts w:ascii="Aptos" w:hAnsi="Aptos"/>
          <w:b/>
          <w:i w:val="0"/>
          <w:color w:val="0F4761"/>
          <w:sz w:val="32"/>
          <w:rFonts w:ascii="Aptos" w:hAnsi="Aptos"/>
        </w:rPr>
        <w:t>Overall Status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Status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Extraction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Completed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Schema Validation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Validated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Relationship Identification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Identified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Complexity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Planning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Ready</w:t>
            </w:r>
          </w:p>
        </w:tc>
      </w:tr>
    </w:tbl>
    <w:p>
      <w:pPr>
        <w:pStyle w:val="Heading2"/>
        <w:spacing w:before="120" w:after="60"/>
      </w:pPr>
      <w:r>
        <w:rPr>
          <w:rFonts w:ascii="Aptos" w:hAnsi="Aptos"/>
          <w:b/>
          <w:i w:val="0"/>
          <w:color w:val="0F4761"/>
          <w:sz w:val="32"/>
          <w:rFonts w:ascii="Aptos" w:hAnsi="Aptos"/>
        </w:rPr>
        <w:t>Key Findings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Description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Metadata Scan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Successfully scanned tables, columns, and data types from the database.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Profile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Evaluated data footprint and row counts for all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Integrity Constraints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Analyzed primary and foreign key candidate definitions.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Execution Path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Determined execution topology and batching sequence.</w:t>
            </w:r>
          </w:p>
        </w:tc>
      </w:tr>
    </w:tbl>
    <w:p>
      <w:pPr>
        <w:pStyle w:val="Heading1"/>
        <w:spacing w:before="160" w:after="60"/>
      </w:pPr>
      <w:r>
        <w:rPr>
          <w:rFonts w:ascii="Aptos" w:hAnsi="Aptos"/>
          <w:b/>
          <w:i w:val="0"/>
          <w:color w:val="0F4761"/>
          <w:sz w:val="40"/>
          <w:rFonts w:ascii="Aptos" w:hAnsi="Aptos"/>
        </w:rPr>
        <w:t>5. Object-Wise Assessment</w:t>
      </w:r>
    </w:p>
    <w:p>
      <w:pPr>
        <w:pStyle w:val="Heading2"/>
        <w:spacing w:before="240" w:after="60"/>
      </w:pPr>
      <w:r>
        <w:rPr>
          <w:rFonts w:ascii="Aptos" w:hAnsi="Aptos"/>
          <w:b/>
          <w:i w:val="0"/>
          <w:color w:val="0F4761"/>
          <w:sz w:val="32"/>
          <w:rFonts w:ascii="Aptos" w:hAnsi="Aptos"/>
        </w:rPr>
        <w:t>5.1 dim_card</w:t>
      </w:r>
    </w:p>
    <w:p>
      <w:pPr>
        <w:spacing w:after="80"/>
        <w:jc w:val="both"/>
      </w:pPr>
      <w:r>
        <w:rPr>
          <w:rFonts w:ascii="Aptos" w:hAnsi="Aptos"/>
          <w:b w:val="0"/>
          <w:i w:val="0"/>
          <w:sz w:val="24"/>
          <w:rFonts w:ascii="Aptos" w:hAnsi="Aptos"/>
        </w:rPr>
        <w:t>The table cards.dim_card is mapped to Microsoft Fabric. Below is the parsed column list and findings observation.</w:t>
      </w:r>
    </w:p>
    <w:p>
      <w:pPr>
        <w:spacing w:after="80"/>
        <w:jc w:val="both"/>
      </w:pPr>
      <w:r>
        <w:rPr>
          <w:b/>
        </w:rPr>
        <w:t xml:space="preserve">Observations: </w:t>
      </w:r>
      <w:r>
        <w:t>dim_card is a compact dimension-style table (4,000 rows, 0.2 MB) with a 23-column schema spanning identifiers, card attributes, key lifecycle dates, and multiple financial amount measures (DOUBLE). It uses a composite primary key on card_id and customer_id, and no foreign keys are defined in the available metadata. The table is referenced downstream by fact_card_transaction, indicating it serves as a core lookup entity for transactional records.</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card_network</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product_name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cardholder_name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issue_date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expiry_date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cvv_stored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credit_limit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available_limit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cash_limit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current_outstanding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min_amount_due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total_amount_due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statement_date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payment_due_date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reward_points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is_contactless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is_international_enabled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0.20 MB (Medium)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 customer_id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r>
    </w:tbl>
    <w:p>
      <w:pPr>
        <w:pStyle w:val="Heading2"/>
        <w:spacing w:before="240" w:after="60"/>
      </w:pPr>
      <w:r>
        <w:rPr>
          <w:rFonts w:ascii="Aptos" w:hAnsi="Aptos"/>
          <w:b/>
          <w:i w:val="0"/>
          <w:color w:val="0F4761"/>
          <w:sz w:val="32"/>
          <w:rFonts w:ascii="Aptos" w:hAnsi="Aptos"/>
        </w:rPr>
        <w:t>5.2 fact_card_transaction</w:t>
      </w:r>
    </w:p>
    <w:p>
      <w:pPr>
        <w:spacing w:after="80"/>
        <w:jc w:val="both"/>
      </w:pPr>
      <w:r>
        <w:rPr>
          <w:rFonts w:ascii="Aptos" w:hAnsi="Aptos"/>
          <w:b w:val="0"/>
          <w:i w:val="0"/>
          <w:sz w:val="24"/>
          <w:rFonts w:ascii="Aptos" w:hAnsi="Aptos"/>
        </w:rPr>
        <w:t>The table cards.fact_card_transaction is mapped to Microsoft Fabric. Below is the parsed column list and findings observation.</w:t>
      </w:r>
    </w:p>
    <w:p>
      <w:pPr>
        <w:spacing w:after="80"/>
        <w:jc w:val="both"/>
      </w:pPr>
      <w:r>
        <w:rPr>
          <w:b/>
        </w:rPr>
        <w:t xml:space="preserve">Observations: </w:t>
      </w:r>
      <w:r>
        <w:t>This is a 22-column transaction fact table with mixed identifiers, timestamps/dates, merchant attributes, and numeric measures (amount, billing_amount_inr, fx_rate, fraud_score). It defines a composite primary key across four identifier columns and includes one foreign key linking card_id to dim_card, indicating a dimensional relationship to card reference data. No dependent tables, related views, or stored procedures are reported in the metadata, suggesting limited downstream object coupling captured here.</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txn_timestamp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TIMESTAMP</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posting_date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currency_code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billing_amount_inr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fx_rate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 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merchant_name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merchant_category_code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merchant_country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entry_mode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auth_code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approval_status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decline_reason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is_international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is_emi_converted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fraud_score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DOUBLE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is_fraud_flagged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Findings Metadata:</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Assessment Area</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Finding Details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125000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Sizing (MB)</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3.89 MB (Large)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Table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Base Table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Primary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 card_id, customer_id, merchant_id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Foreign Key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FK_fact_card_transaction_card_id_dim_card → 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Referenced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Dependent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pStyle w:val="Heading2"/>
        <w:spacing w:before="240" w:after="60"/>
      </w:pPr>
      <w:r>
        <w:rPr>
          <w:rFonts w:ascii="Aptos" w:hAnsi="Aptos"/>
          <w:b/>
          <w:i w:val="0"/>
          <w:color w:val="0F4761"/>
          <w:sz w:val="32"/>
          <w:rFonts w:ascii="Aptos" w:hAnsi="Aptos"/>
        </w:rPr>
        <w:t>5.3 archived_orders_view</w:t>
      </w:r>
    </w:p>
    <w:p>
      <w:pPr>
        <w:spacing w:after="80"/>
        <w:jc w:val="both"/>
      </w:pPr>
      <w:r>
        <w:rPr>
          <w:rFonts w:ascii="Aptos" w:hAnsi="Aptos"/>
          <w:b w:val="0"/>
          <w:i w:val="0"/>
          <w:sz w:val="24"/>
          <w:rFonts w:ascii="Aptos" w:hAnsi="Aptos"/>
        </w:rPr>
        <w:t>The view sp_demo.archived_orders_view is mapped to Microsoft Fabric. This is a VIEW object - its logic is defined by a SQL query rather than stored data.</w:t>
      </w:r>
    </w:p>
    <w:p>
      <w:pPr>
        <w:spacing w:after="80"/>
        <w:jc w:val="both"/>
      </w:pPr>
      <w:r>
        <w:rPr>
          <w:b/>
        </w:rPr>
        <w:t xml:space="preserve">Observations: </w:t>
      </w:r>
      <w:r>
        <w:t>This view exposes five fields (IDs, date, amount, and status) and is defined as a direct SELECT * projection. It depends solely on bfsi_dev.sp_demo.archived_orders with no additional filters, joins, or transformations in the view definition.</w:t>
      </w:r>
    </w:p>
    <w:p>
      <w:pPr>
        <w:spacing w:after="80"/>
        <w:jc w:val="both"/>
      </w:pPr>
      <w:r>
        <w:rPr>
          <w:rFonts w:ascii="Aptos" w:hAnsi="Aptos"/>
          <w:b w:val="0"/>
          <w:i w:val="0"/>
          <w:sz w:val="24"/>
          <w:rFonts w:ascii="Aptos" w:hAnsi="Aptos"/>
        </w:rPr>
        <w:t>Schema Columns: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 Type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amount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DECIMAL</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status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STRING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bl>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View</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Definition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select * from bfsi_dev.sp_demo.archived_orders</w:t>
              <w:br/>
              <w:t>Dependencies:</w:t>
              <w:br/>
              <w:t>- Referenced Objects: bfsi_dev.sp_demo.archived_orders</w:t>
              <w:br/>
              <w:t>- Dependent Objects: None</w:t>
            </w:r>
          </w:p>
        </w:tc>
      </w:tr>
    </w:tbl>
    <w:p>
      <w:pPr>
        <w:pStyle w:val="Heading2"/>
        <w:spacing w:before="240" w:after="60"/>
      </w:pPr>
      <w:r>
        <w:rPr>
          <w:rFonts w:ascii="Aptos" w:hAnsi="Aptos"/>
          <w:b/>
          <w:i w:val="0"/>
          <w:color w:val="0F4761"/>
          <w:sz w:val="32"/>
          <w:rFonts w:ascii="Aptos" w:hAnsi="Aptos"/>
        </w:rPr>
        <w:t>5.4 archive_old_orders</w:t>
      </w:r>
    </w:p>
    <w:p>
      <w:pPr>
        <w:spacing w:after="80"/>
        <w:jc w:val="both"/>
      </w:pPr>
      <w:r>
        <w:rPr>
          <w:rFonts w:ascii="Aptos" w:hAnsi="Aptos"/>
          <w:b w:val="0"/>
          <w:i w:val="0"/>
          <w:sz w:val="24"/>
          <w:rFonts w:ascii="Aptos" w:hAnsi="Aptos"/>
        </w:rPr>
        <w:t>The procedure sp_demo.archive_old_orders is mapped to Microsoft Fabric. This is a STORED PROCEDURE object; it has no columns of its own.</w:t>
      </w:r>
    </w:p>
    <w:p>
      <w:pPr>
        <w:spacing w:after="80"/>
        <w:jc w:val="both"/>
      </w:pPr>
      <w:r>
        <w:rPr>
          <w:b/>
        </w:rPr>
        <w:t xml:space="preserve">Observations: </w:t>
      </w:r>
      <w:r>
        <w:t>The stored procedure archive_old_orders exists in the sp_demo schema. No additional metadata (such as parameters, referenced objects, or definition details) is available from the retrieved procedure metadata beyond its name and schema.</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Stored Procedure</w:t>
            </w:r>
          </w:p>
        </w:tc>
      </w:tr>
    </w:tbl>
    <w:p>
      <w:pPr>
        <w:pStyle w:val="Heading2"/>
        <w:spacing w:before="240" w:after="60"/>
      </w:pPr>
      <w:r>
        <w:rPr>
          <w:rFonts w:ascii="Aptos" w:hAnsi="Aptos"/>
          <w:b/>
          <w:i w:val="0"/>
          <w:color w:val="0F4761"/>
          <w:sz w:val="32"/>
          <w:rFonts w:ascii="Aptos" w:hAnsi="Aptos"/>
        </w:rPr>
        <w:t>5.5 credit_card_details_ext_vol</w:t>
      </w:r>
    </w:p>
    <w:p>
      <w:pPr>
        <w:spacing w:after="80"/>
        <w:jc w:val="both"/>
      </w:pPr>
      <w:r>
        <w:rPr>
          <w:rFonts w:ascii="Aptos" w:hAnsi="Aptos"/>
          <w:b w:val="0"/>
          <w:i w:val="0"/>
          <w:sz w:val="24"/>
          <w:rFonts w:ascii="Aptos" w:hAnsi="Aptos"/>
        </w:rPr>
        <w:t>The volume cards.credit_card_details_ext_vol is mapped to Microsoft Fabric. This is a VOLUME object (Unity Catalog managed/external file storage), not a relational structure.</w:t>
      </w:r>
    </w:p>
    <w:p>
      <w:pPr>
        <w:spacing w:after="80"/>
        <w:jc w:val="both"/>
      </w:pPr>
      <w:r>
        <w:rPr>
          <w:b/>
        </w:rPr>
        <w:t xml:space="preserve">Observations: </w:t>
      </w:r>
      <w:r>
        <w:t>The volume is a MANAGED Unity Catalog volume, indicating it is governed and managed within the platform’s volume framework. The storage location is not available in the retrieved metadata, so the underlying path cannot be confirmed from this report.</w:t>
      </w:r>
    </w:p>
    <w:p>
      <w:pPr>
        <w:spacing w:after="80"/>
        <w:jc w:val="both"/>
      </w:pPr>
      <w:r>
        <w:rPr>
          <w:rFonts w:ascii="Aptos" w:hAnsi="Aptos"/>
          <w:b w:val="0"/>
          <w:i w:val="0"/>
          <w:sz w:val="24"/>
          <w:rFonts w:ascii="Aptos" w:hAnsi="Aptos"/>
        </w:rPr>
        <w:t>Object Details: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Property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Object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Volume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Volume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Storage Location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Unknown</w:t>
            </w:r>
          </w:p>
        </w:tc>
      </w:tr>
    </w:tbl>
    <w:p>
      <w:pPr>
        <w:pStyle w:val="Heading1"/>
        <w:spacing w:before="160" w:after="60"/>
      </w:pPr>
      <w:r>
        <w:rPr>
          <w:rFonts w:ascii="Aptos" w:hAnsi="Aptos"/>
          <w:b/>
          <w:i w:val="0"/>
          <w:color w:val="0F4761"/>
          <w:sz w:val="40"/>
          <w:rFonts w:ascii="Aptos" w:hAnsi="Aptos"/>
        </w:rPr>
        <w:t>6. Assessment Conclusion</w:t>
      </w:r>
    </w:p>
    <w:p>
      <w:pPr>
        <w:spacing w:after="80"/>
        <w:jc w:val="both"/>
      </w:pPr>
      <w:r>
        <w:rPr>
          <w:rFonts w:ascii="Aptos" w:hAnsi="Aptos"/>
          <w:b w:val="0"/>
          <w:i w:val="0"/>
          <w:sz w:val="24"/>
          <w:rFonts w:ascii="Aptos" w:hAnsi="Aptos"/>
        </w:rPr>
        <w:t>Based on the database assessment, the schema is well-defined and compatible with Microsoft Fabric lakehouse tables. The tables have been cataloged with clear constraints and load parameters. Sizing categories range from small to large, requiring appropriate ingestion batches.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