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Outfit" w:hAnsi="Outfit"/>
          <w:b/>
          <w:color w:val="0F4C81"/>
          <w:sz w:val="52"/>
        </w:rPr>
        <w:t>Database Migration Plan</w:t>
      </w:r>
    </w:p>
    <w:p>
      <w:pPr>
        <w:spacing w:after="480"/>
      </w:pPr>
      <w:r>
        <w:rPr>
          <w:rFonts w:ascii="Outfit" w:hAnsi="Outfit"/>
          <w:i/>
          <w:color w:val="646464"/>
          <w:sz w:val="28"/>
        </w:rPr>
        <w:t>AI Generated Migration Report (Microsoft Azure AI Foundry)</w:t>
      </w:r>
    </w:p>
    <w:p>
      <w:pPr>
        <w:spacing w:before="360"/>
      </w:pPr>
      <w:r>
        <w:rPr>
          <w:b/>
          <w:color w:val="0F4C81"/>
          <w:sz w:val="36"/>
        </w:rPr>
        <w:t>SECTION 1: METADATA INTERPRETATION</w:t>
      </w:r>
    </w:p>
    <w:p>
      <w:pPr>
        <w:spacing w:after="80"/>
      </w:pPr>
      <w:r>
        <w:t>1.1 Structural overview</w:t>
      </w:r>
    </w:p>
    <w:p>
      <w:pPr>
        <w:spacing w:after="80"/>
      </w:pPr>
      <w:r>
        <w:t>The source database presents a small, domain-partitioned model across 7 schemas: cards, core_banking, insurance, lending, payments, risk_compliance, wealth. There are 7 tables with a combined 162 columns. The naming indicates a dimensional approach (dim_*) plus a single transactional fact table (fact_neft_rtgs).</w:t>
      </w:r>
    </w:p>
    <w:p>
      <w:pPr>
        <w:spacing w:after="80"/>
      </w:pPr>
      <w:r>
        <w:t>Tables by domain and inferred role:</w:t>
      </w:r>
    </w:p>
    <w:p>
      <w:pPr>
        <w:spacing w:after="80"/>
        <w:ind w:left="360"/>
      </w:pPr>
      <w:r>
        <w:rPr>
          <w:b/>
        </w:rPr>
        <w:t>cards.dim_card:</w:t>
      </w:r>
      <w:r>
        <w:t xml:space="preserve"> Card master and card account attributes (limits, status, reward points, card properties).</w:t>
      </w:r>
    </w:p>
    <w:p>
      <w:pPr>
        <w:spacing w:after="80"/>
        <w:ind w:left="360"/>
      </w:pPr>
      <w:r>
        <w:rPr>
          <w:b/>
        </w:rPr>
        <w:t>core_banking.dim_account:</w:t>
      </w:r>
      <w:r>
        <w:t xml:space="preserve"> Bank account master attributes (balances, status, dormancy, dates).</w:t>
      </w:r>
    </w:p>
    <w:p>
      <w:pPr>
        <w:spacing w:after="80"/>
        <w:ind w:left="360"/>
      </w:pPr>
      <w:r>
        <w:rPr>
          <w:b/>
        </w:rPr>
        <w:t>insurance.dim_policy:</w:t>
      </w:r>
      <w:r>
        <w:t xml:space="preserve"> Policy master attributes (sum assured, premium, coverage dates, underwriting flags).</w:t>
      </w:r>
    </w:p>
    <w:p>
      <w:pPr>
        <w:spacing w:after="80"/>
        <w:ind w:left="360"/>
      </w:pPr>
      <w:r>
        <w:rPr>
          <w:b/>
        </w:rPr>
        <w:t>lending.dim_loan:</w:t>
      </w:r>
      <w:r>
        <w:t xml:space="preserve"> Loan master attributes (disbursement, EMI schedule, delinquency/DPD, collateral, status).</w:t>
      </w:r>
    </w:p>
    <w:p>
      <w:pPr>
        <w:spacing w:after="80"/>
        <w:ind w:left="360"/>
      </w:pPr>
      <w:r>
        <w:rPr>
          <w:b/>
        </w:rPr>
        <w:t>payments.fact_neft_rtgs:</w:t>
      </w:r>
      <w:r>
        <w:t xml:space="preserve"> Payments transaction fact for NEFT/RTGS rails (payment id, UTR, timestamps, etc.).</w:t>
      </w:r>
    </w:p>
    <w:p>
      <w:pPr>
        <w:spacing w:after="80"/>
        <w:ind w:left="360"/>
      </w:pPr>
      <w:r>
        <w:rPr>
          <w:b/>
        </w:rPr>
        <w:t>risk_compliance.dim_kyc:</w:t>
      </w:r>
      <w:r>
        <w:t xml:space="preserve"> KYC/compliance master (customer verification profile; detailed columns not fully listed but implied by table name).</w:t>
      </w:r>
    </w:p>
    <w:p>
      <w:pPr>
        <w:spacing w:after="80"/>
        <w:ind w:left="360"/>
      </w:pPr>
      <w:r>
        <w:rPr>
          <w:b/>
        </w:rPr>
        <w:t>wealth.dim_portfolio:</w:t>
      </w:r>
      <w:r>
        <w:t xml:space="preserve"> Wealth portfolio master (holdings/portfolio-level attributes; detailed columns not fully listed but implied by table name).</w:t>
      </w:r>
    </w:p>
    <w:p>
      <w:pPr>
        <w:spacing w:after="80"/>
      </w:pPr>
      <w:r>
        <w:t>1.2 Table sizing assessment (row counts, operational implications)</w:t>
      </w:r>
    </w:p>
    <w:p>
      <w:pPr>
        <w:spacing w:after="80"/>
      </w:pPr>
      <w:r>
        <w:t>All tables are small in the provided summary:</w:t>
      </w:r>
    </w:p>
    <w:p>
      <w:pPr>
        <w:spacing w:after="80"/>
        <w:ind w:left="360"/>
      </w:pPr>
      <w:r>
        <w:rPr>
          <w:b/>
        </w:rPr>
        <w:t>dim_account:</w:t>
      </w:r>
      <w:r>
        <w:t xml:space="preserve"> 8,000 rows</w:t>
      </w:r>
    </w:p>
    <w:p>
      <w:pPr>
        <w:spacing w:after="80"/>
        <w:ind w:left="360"/>
      </w:pPr>
      <w:r>
        <w:rPr>
          <w:b/>
        </w:rPr>
        <w:t>dim_kyc:</w:t>
      </w:r>
      <w:r>
        <w:t xml:space="preserve"> 5,000 rows</w:t>
      </w:r>
    </w:p>
    <w:p>
      <w:pPr>
        <w:spacing w:after="80"/>
        <w:ind w:left="360"/>
      </w:pPr>
      <w:r>
        <w:rPr>
          <w:b/>
        </w:rPr>
        <w:t>dim_card:</w:t>
      </w:r>
      <w:r>
        <w:t xml:space="preserve"> 4,000 rows</w:t>
      </w:r>
    </w:p>
    <w:p>
      <w:pPr>
        <w:spacing w:after="80"/>
        <w:ind w:left="360"/>
      </w:pPr>
      <w:r>
        <w:rPr>
          <w:b/>
        </w:rPr>
        <w:t>dim_policy:</w:t>
      </w:r>
      <w:r>
        <w:t xml:space="preserve"> 2,000 rows</w:t>
      </w:r>
    </w:p>
    <w:p>
      <w:pPr>
        <w:spacing w:after="80"/>
        <w:ind w:left="360"/>
      </w:pPr>
      <w:r>
        <w:rPr>
          <w:b/>
        </w:rPr>
        <w:t>dim_loan:</w:t>
      </w:r>
      <w:r>
        <w:t xml:space="preserve"> 1,500 rows</w:t>
      </w:r>
    </w:p>
    <w:p>
      <w:pPr>
        <w:spacing w:after="80"/>
        <w:ind w:left="360"/>
      </w:pPr>
      <w:r>
        <w:rPr>
          <w:b/>
        </w:rPr>
        <w:t>dim_portfolio:</w:t>
      </w:r>
      <w:r>
        <w:t xml:space="preserve"> 750 rows</w:t>
      </w:r>
    </w:p>
    <w:p>
      <w:pPr>
        <w:spacing w:after="80"/>
        <w:ind w:left="360"/>
      </w:pPr>
      <w:r>
        <w:rPr>
          <w:b/>
        </w:rPr>
        <w:t>fact_neft_rtgs:</w:t>
      </w:r>
      <w:r>
        <w:t xml:space="preserve"> 20,000 rows</w:t>
      </w:r>
    </w:p>
    <w:p>
      <w:pPr>
        <w:spacing w:after="80"/>
      </w:pPr>
      <w:r>
        <w:t>Even the largest object (fact_neft_rtgs at 20k rows) is low volume. This implies:</w:t>
      </w:r>
    </w:p>
    <w:p>
      <w:pPr>
        <w:spacing w:after="80"/>
        <w:ind w:left="360"/>
      </w:pPr>
      <w:r>
        <w:t>Initial full loads will be fast and low risk.</w:t>
      </w:r>
    </w:p>
    <w:p>
      <w:pPr>
        <w:spacing w:after="80"/>
        <w:ind w:left="360"/>
      </w:pPr>
      <w:r>
        <w:t>Incremental patterns should still be implemented for correctness and future growth (especially for the fact table and any frequently changing dimensions such as balances, status, delinquency).</w:t>
      </w:r>
    </w:p>
    <w:p>
      <w:pPr>
        <w:spacing w:after="80"/>
        <w:ind w:left="360"/>
      </w:pPr>
      <w:r>
        <w:t>“Size MB = 0.0 MB” suggests the size was not captured or rounded down; row counts are the better indicator here.</w:t>
      </w:r>
    </w:p>
    <w:p>
      <w:pPr>
        <w:spacing w:after="80"/>
      </w:pPr>
      <w:r>
        <w:t>1.3 Primary key identification (inferred from column patterns)</w:t>
      </w:r>
    </w:p>
    <w:p>
      <w:pPr>
        <w:spacing w:after="80"/>
      </w:pPr>
      <w:r>
        <w:t>No explicit PK metadata is provided, so PKs are inferred using standard conventions:</w:t>
      </w:r>
    </w:p>
    <w:p>
      <w:pPr>
        <w:spacing w:after="80"/>
        <w:ind w:left="360"/>
      </w:pPr>
      <w:r>
        <w:rPr>
          <w:b/>
        </w:rPr>
        <w:t>cards.dim_card:</w:t>
      </w:r>
      <w:r>
        <w:t xml:space="preserve"> card_id is the natural surrogate key candidate. card_number is sensitive and not stable for PK usage; treat as an attribute.</w:t>
      </w:r>
    </w:p>
    <w:p>
      <w:pPr>
        <w:spacing w:after="80"/>
        <w:ind w:left="360"/>
      </w:pPr>
      <w:r>
        <w:rPr>
          <w:b/>
        </w:rPr>
        <w:t>core_banking.dim_account:</w:t>
      </w:r>
      <w:r>
        <w:t xml:space="preserve"> account_id is PK candidate; account_number/IBAN are business identifiers.</w:t>
      </w:r>
    </w:p>
    <w:p>
      <w:pPr>
        <w:spacing w:after="80"/>
        <w:ind w:left="360"/>
      </w:pPr>
      <w:r>
        <w:rPr>
          <w:b/>
        </w:rPr>
        <w:t>insurance.dim_policy:</w:t>
      </w:r>
      <w:r>
        <w:t xml:space="preserve"> policy_id is PK candidate; policy_number is business identifier.</w:t>
      </w:r>
    </w:p>
    <w:p>
      <w:pPr>
        <w:spacing w:after="80"/>
        <w:ind w:left="360"/>
      </w:pPr>
      <w:r>
        <w:rPr>
          <w:b/>
        </w:rPr>
        <w:t>lending.dim_loan:</w:t>
      </w:r>
      <w:r>
        <w:t xml:space="preserve"> loan_id is PK candidate; loan_account_number/application_id are business identifiers.</w:t>
      </w:r>
    </w:p>
    <w:p>
      <w:pPr>
        <w:spacing w:after="80"/>
        <w:ind w:left="360"/>
      </w:pPr>
      <w:r>
        <w:rPr>
          <w:b/>
        </w:rPr>
        <w:t>payments.fact_neft_rtgs:</w:t>
      </w:r>
      <w:r>
        <w:t xml:space="preserve"> payment_id is PK candidate; utr_number is a strong business key but may not be globally unique in all banks; keep as alternate key.</w:t>
      </w:r>
    </w:p>
    <w:p>
      <w:pPr>
        <w:spacing w:after="80"/>
        <w:ind w:left="360"/>
      </w:pPr>
      <w:r>
        <w:rPr>
          <w:b/>
        </w:rPr>
        <w:t>risk_compliance.dim_kyc:</w:t>
      </w:r>
      <w:r>
        <w:t xml:space="preserve"> likely kyc_id or customer_id if present; since not listed, assume a unique identifier exists. If not, customer_id may be the natural key (with effective dating if multiple KYC events exist).</w:t>
      </w:r>
    </w:p>
    <w:p>
      <w:pPr>
        <w:spacing w:after="80"/>
        <w:ind w:left="360"/>
      </w:pPr>
      <w:r>
        <w:rPr>
          <w:b/>
        </w:rPr>
        <w:t>wealth.dim_portfolio:</w:t>
      </w:r>
      <w:r>
        <w:t xml:space="preserve"> likely portfolio_id or customer_id+portfolio_name; assume a portfolio_id exists.</w:t>
      </w:r>
    </w:p>
    <w:p>
      <w:pPr>
        <w:spacing w:after="80"/>
      </w:pPr>
      <w:r>
        <w:t>1.4 Foreign key identification and relationship descriptions (inferred)</w:t>
      </w:r>
    </w:p>
    <w:p>
      <w:pPr>
        <w:spacing w:after="80"/>
      </w:pPr>
      <w:r>
        <w:t>The metadata states “Dependencies: None”, meaning no declared foreign keys. However, many tables contain customer_id, branch_id and other shared identifiers that imply logical relationships:</w:t>
      </w:r>
    </w:p>
    <w:p>
      <w:pPr>
        <w:spacing w:after="80"/>
        <w:ind w:left="360"/>
      </w:pPr>
      <w:r>
        <w:t>dim_card.customer_id -&gt; logical join to customer entity (not present in this dataset) or to a shared customer hub; also could join to dim_account.customer_id for customer-level analytics.</w:t>
      </w:r>
    </w:p>
    <w:p>
      <w:pPr>
        <w:spacing w:after="80"/>
        <w:ind w:left="360"/>
      </w:pPr>
      <w:r>
        <w:t>dim_account.customer_id -&gt; logical link to customer hub; dim_account.branch_id suggests a branch dimension not included.</w:t>
      </w:r>
    </w:p>
    <w:p>
      <w:pPr>
        <w:spacing w:after="80"/>
        <w:ind w:left="360"/>
      </w:pPr>
      <w:r>
        <w:t>dim_policy.customer_id -&gt; logical link to customer hub.</w:t>
      </w:r>
    </w:p>
    <w:p>
      <w:pPr>
        <w:spacing w:after="80"/>
        <w:ind w:left="360"/>
      </w:pPr>
      <w:r>
        <w:t>dim_loan.customer_id and branch_id -&gt; logical links to customer hub and branch dimension not included.</w:t>
      </w:r>
    </w:p>
    <w:p>
      <w:pPr>
        <w:spacing w:after="80"/>
        <w:ind w:left="360"/>
      </w:pPr>
      <w:r>
        <w:t>fact_neft_rtgs likely contains debit_account_id/credit_account_id or customer references in columns not shown; at minimum initiation_timestamp indicates time-based analytics.</w:t>
      </w:r>
    </w:p>
    <w:p>
      <w:pPr>
        <w:spacing w:after="80"/>
      </w:pPr>
      <w:r>
        <w:t>Given the absence of a customer master table, the migration plan should treat customer_id as a conformed key used to integrate across domains in downstream curated layers.</w:t>
      </w:r>
    </w:p>
    <w:p>
      <w:pPr>
        <w:spacing w:after="80"/>
      </w:pPr>
      <w:r>
        <w:t>1.5 Sensitive data indicators and compliance notes</w:t>
      </w:r>
    </w:p>
    <w:p>
      <w:pPr>
        <w:spacing w:after="80"/>
      </w:pPr>
      <w:r>
        <w:t>Several columns indicate regulated and sensitive data:</w:t>
      </w:r>
    </w:p>
    <w:p>
      <w:pPr>
        <w:spacing w:after="80"/>
        <w:ind w:left="360"/>
      </w:pPr>
      <w:r>
        <w:rPr>
          <w:b/>
        </w:rPr>
        <w:t>cards.dim_card:</w:t>
      </w:r>
      <w:r>
        <w:t xml:space="preserve"> card_number, card_number_masked, cvv_stored, cardholder_name. CVV storage is extremely sensitive; in many standards (PCI DSS), CVV must not be stored post-authorization. If this is truly stored, migration must include security exception handling, tokenization, encryption, and strict access controls.</w:t>
      </w:r>
    </w:p>
    <w:p>
      <w:pPr>
        <w:spacing w:after="80"/>
        <w:ind w:left="360"/>
      </w:pPr>
      <w:r>
        <w:rPr>
          <w:b/>
        </w:rPr>
        <w:t>core_banking.dim_account:</w:t>
      </w:r>
      <w:r>
        <w:t xml:space="preserve"> account_number, IBAN, IFSC, nominee_name.</w:t>
      </w:r>
    </w:p>
    <w:p>
      <w:pPr>
        <w:spacing w:after="80"/>
        <w:ind w:left="360"/>
      </w:pPr>
      <w:r>
        <w:rPr>
          <w:b/>
        </w:rPr>
        <w:t>insurance.dim_policy:</w:t>
      </w:r>
      <w:r>
        <w:t xml:space="preserve"> insured_dob, nominee_name, medical/pre-existing conditions, vehicle_registration_no.</w:t>
      </w:r>
    </w:p>
    <w:p>
      <w:pPr>
        <w:spacing w:after="80"/>
        <w:ind w:left="360"/>
      </w:pPr>
      <w:r>
        <w:rPr>
          <w:b/>
        </w:rPr>
        <w:t>lending.dim_loan:</w:t>
      </w:r>
      <w:r>
        <w:t xml:space="preserve"> customer_id linkage, collateral details.</w:t>
      </w:r>
    </w:p>
    <w:p>
      <w:pPr>
        <w:spacing w:after="80"/>
      </w:pPr>
      <w:r>
        <w:t>These require classification, encryption at rest, restricted workspace access, and masking for non-production.</w:t>
      </w:r>
    </w:p>
    <w:p>
      <w:r>
        <w:rPr>
          <w:b/>
        </w:rPr>
        <w:t>Table Summary &amp; Sizing Assessment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Table Name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Row Count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Size (MB)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Size Category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dim_card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4000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dim_account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8000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dim_policy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1500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20000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5000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750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</w:tbl>
    <w:p>
      <w:pPr>
        <w:spacing w:before="160"/>
      </w:pPr>
    </w:p>
    <w:p>
      <w:r>
        <w:rPr>
          <w:b/>
        </w:rPr>
        <w:t>Key Identification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Table 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Key Type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dim_card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card_id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dim_card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dim_account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account_id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dim_account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dim_account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dim_policy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policy_id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dim_policy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dim_policy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idv_value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loan_id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application_id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total_paid_to_date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emis_paid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payment_id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remitter_customer_id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remitter_account_id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batch_id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kyc_id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id_proof_type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id_proof_number_masked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crs_tax_residency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portfolio_id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dp_id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client_id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advisor_id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tax_residency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</w:tbl>
    <w:p>
      <w:pPr>
        <w:spacing w:before="160"/>
      </w:pPr>
    </w:p>
    <w:p>
      <w:pPr>
        <w:spacing w:before="360"/>
      </w:pPr>
      <w:r>
        <w:rPr>
          <w:b/>
          <w:color w:val="0F4C81"/>
          <w:sz w:val="36"/>
        </w:rPr>
        <w:t>SECTION 2: DEPENDENCY ANALYSIS</w:t>
      </w:r>
    </w:p>
    <w:p>
      <w:pPr>
        <w:spacing w:after="80"/>
      </w:pPr>
      <w:r>
        <w:t>2.1 Declared FK relationships</w:t>
      </w:r>
    </w:p>
    <w:p>
      <w:pPr>
        <w:spacing w:after="80"/>
      </w:pPr>
      <w:r>
        <w:t>No declared foreign keys or dependencies were provided. Therefore, schema migration can proceed without strict FK ordering constraints at the database object level.</w:t>
      </w:r>
    </w:p>
    <w:p>
      <w:pPr>
        <w:spacing w:after="80"/>
      </w:pPr>
      <w:r>
        <w:t>2.2 Logical (undeclared) dependencies and conformance points</w:t>
      </w:r>
    </w:p>
    <w:p>
      <w:pPr>
        <w:spacing w:after="80"/>
      </w:pPr>
      <w:r>
        <w:t>Even without FK constraints, analytics and curated models will depend on consistent keys:</w:t>
      </w:r>
    </w:p>
    <w:p>
      <w:pPr>
        <w:spacing w:after="80"/>
        <w:ind w:left="360"/>
      </w:pPr>
      <w:r>
        <w:t>customer_id is a shared conformed key across dim_card, dim_account, dim_policy, dim_loan, and likely dim_kyc and dim_portfolio.</w:t>
      </w:r>
    </w:p>
    <w:p>
      <w:pPr>
        <w:spacing w:after="80"/>
        <w:ind w:left="360"/>
      </w:pPr>
      <w:r>
        <w:t>branch_id appears in dim_account and dim_loan; could be conformed later if a branch dimension is introduced.</w:t>
      </w:r>
    </w:p>
    <w:p>
      <w:pPr>
        <w:spacing w:after="80"/>
        <w:ind w:left="360"/>
      </w:pPr>
      <w:r>
        <w:t>Time attributes (issue_date, open_date, policy_start_date, disbursement_date, initiation_timestamp) imply a conformed date/time dimension for Gold layer reporting.</w:t>
      </w:r>
    </w:p>
    <w:p>
      <w:pPr>
        <w:spacing w:after="80"/>
      </w:pPr>
      <w:r>
        <w:t>2.3 Circular dependency checks</w:t>
      </w:r>
    </w:p>
    <w:p>
      <w:pPr>
        <w:spacing w:after="80"/>
      </w:pPr>
      <w:r>
        <w:t>No declared relationships means no database-enforced circular dependencies. Logical cycles could emerge only in curated transformations (for example, if a “customer” entity is derived from multiple dims). To avoid cycles:</w:t>
      </w:r>
    </w:p>
    <w:p>
      <w:pPr>
        <w:spacing w:after="80"/>
        <w:ind w:left="360"/>
      </w:pPr>
      <w:r>
        <w:t>Establish a single Customer Hub/Dimension in Silver (if created) as the authoritative customer record built from a prioritized source (often core_banking first, then enrich with KYC/wealth/insurance/lending).</w:t>
      </w:r>
    </w:p>
    <w:p>
      <w:pPr>
        <w:spacing w:after="80"/>
        <w:ind w:left="360"/>
      </w:pPr>
      <w:r>
        <w:t>Avoid building dim_account from dim_card and dim_card from dim_account; keep both sourced from Bronze with a conformed customer key.</w:t>
      </w:r>
    </w:p>
    <w:p>
      <w:pPr>
        <w:spacing w:after="80"/>
      </w:pPr>
      <w:r>
        <w:t>2.4 Root/independent object detection</w:t>
      </w:r>
    </w:p>
    <w:p>
      <w:pPr>
        <w:spacing w:after="80"/>
      </w:pPr>
      <w:r>
        <w:t>At the physical load level, all 7 tables are independent because there are no FK constraints.</w:t>
      </w:r>
    </w:p>
    <w:p>
      <w:pPr>
        <w:spacing w:after="80"/>
      </w:pPr>
      <w:r>
        <w:t>At the curated semantic level, practical roots are:</w:t>
      </w:r>
    </w:p>
    <w:p>
      <w:pPr>
        <w:spacing w:after="80"/>
        <w:ind w:left="360"/>
      </w:pPr>
      <w:r>
        <w:t>core_banking.dim_account as a strong anchor for customer financial relationships.</w:t>
      </w:r>
    </w:p>
    <w:p>
      <w:pPr>
        <w:spacing w:after="80"/>
        <w:ind w:left="360"/>
      </w:pPr>
      <w:r>
        <w:t>risk_compliance.dim_kyc as a governance anchor for customer verification status.</w:t>
      </w:r>
    </w:p>
    <w:p>
      <w:pPr>
        <w:spacing w:after="80"/>
        <w:ind w:left="360"/>
      </w:pPr>
      <w:r>
        <w:t>payments.fact_neft_rtgs as a transaction anchor that will later join to accounts/customers/time.</w:t>
      </w:r>
    </w:p>
    <w:p>
      <w:pPr>
        <w:spacing w:before="360"/>
      </w:pPr>
      <w:r>
        <w:rPr>
          <w:b/>
          <w:color w:val="0F4C81"/>
          <w:sz w:val="36"/>
        </w:rPr>
        <w:t>SECTION 3: MIGRATION SEQUENCE</w:t>
      </w:r>
    </w:p>
    <w:p>
      <w:pPr>
        <w:spacing w:after="80"/>
      </w:pPr>
      <w:r>
        <w:t>3.1 Target object types in scope</w:t>
      </w:r>
    </w:p>
    <w:p>
      <w:pPr>
        <w:spacing w:after="80"/>
      </w:pPr>
      <w:r>
        <w:t>Based on provided metadata, the scope includes tables only. Views and stored procedures were requested for planning (Sections 4 and onward), but none are provided. The plan will still define how to handle them if they exist in the source.</w:t>
      </w:r>
    </w:p>
    <w:p>
      <w:pPr>
        <w:spacing w:after="80"/>
      </w:pPr>
      <w:r>
        <w:t>3.2 Optimal execution order (topological order)</w:t>
      </w:r>
    </w:p>
    <w:p>
      <w:pPr>
        <w:spacing w:after="80"/>
      </w:pPr>
      <w:r>
        <w:t>Because there are no enforced dependencies, the “optimal” order is driven by domain priority, data validation utility, and downstream usefulness:</w:t>
      </w:r>
    </w:p>
    <w:p>
      <w:pPr>
        <w:spacing w:after="80"/>
      </w:pPr>
      <w:r>
        <w:t>Recommended order:</w:t>
      </w:r>
    </w:p>
    <w:p>
      <w:pPr>
        <w:spacing w:after="80"/>
      </w:pPr>
      <w:r>
        <w:t>1) core_banking.dim_account</w:t>
      </w:r>
    </w:p>
    <w:p>
      <w:pPr>
        <w:spacing w:after="80"/>
      </w:pPr>
      <w:r>
        <w:t>Reason: foundational for financial identity, joins, and validation (balances/status).</w:t>
      </w:r>
    </w:p>
    <w:p>
      <w:pPr>
        <w:spacing w:after="80"/>
      </w:pPr>
      <w:r>
        <w:t>2) risk_compliance.dim_kyc</w:t>
      </w:r>
    </w:p>
    <w:p>
      <w:pPr>
        <w:spacing w:after="80"/>
      </w:pPr>
      <w:r>
        <w:t>Reason: compliance gating, can be used to validate customer populations and access policies.</w:t>
      </w:r>
    </w:p>
    <w:p>
      <w:pPr>
        <w:spacing w:after="80"/>
      </w:pPr>
      <w:r>
        <w:t>3) cards.dim_card</w:t>
      </w:r>
    </w:p>
    <w:p>
      <w:pPr>
        <w:spacing w:after="80"/>
      </w:pPr>
      <w:r>
        <w:t>Reason: depends logically on customer_id and often reconciles to account/customer population.</w:t>
      </w:r>
    </w:p>
    <w:p>
      <w:pPr>
        <w:spacing w:after="80"/>
      </w:pPr>
      <w:r>
        <w:t>4) lending.dim_loan</w:t>
      </w:r>
    </w:p>
    <w:p>
      <w:pPr>
        <w:spacing w:after="80"/>
      </w:pPr>
      <w:r>
        <w:t>Reason: depends logically on customer_id and branch_id; used for credit risk views.</w:t>
      </w:r>
    </w:p>
    <w:p>
      <w:pPr>
        <w:spacing w:after="80"/>
      </w:pPr>
      <w:r>
        <w:t>5) insurance.dim_policy</w:t>
      </w:r>
    </w:p>
    <w:p>
      <w:pPr>
        <w:spacing w:after="80"/>
      </w:pPr>
      <w:r>
        <w:t>Reason: depends logically on customer_id; used for cross-sell and coverage analytics.</w:t>
      </w:r>
    </w:p>
    <w:p>
      <w:pPr>
        <w:spacing w:after="80"/>
      </w:pPr>
      <w:r>
        <w:t>6) wealth.dim_portfolio</w:t>
      </w:r>
    </w:p>
    <w:p>
      <w:pPr>
        <w:spacing w:after="80"/>
      </w:pPr>
      <w:r>
        <w:t>Reason: depends logically on customer_id; used for AUM and segmentation.</w:t>
      </w:r>
    </w:p>
    <w:p>
      <w:pPr>
        <w:spacing w:after="80"/>
      </w:pPr>
      <w:r>
        <w:t>7) payments.fact_neft_rtgs</w:t>
      </w:r>
    </w:p>
    <w:p>
      <w:pPr>
        <w:spacing w:after="80"/>
      </w:pPr>
      <w:r>
        <w:t>Reason: transaction fact typically validated after master data is present to test joins and reconciliation.</w:t>
      </w:r>
    </w:p>
    <w:p>
      <w:pPr>
        <w:spacing w:after="80"/>
      </w:pPr>
      <w:r>
        <w:t>3.3 Parallel execution layers</w:t>
      </w:r>
    </w:p>
    <w:p>
      <w:pPr>
        <w:spacing w:after="80"/>
      </w:pPr>
      <w:r>
        <w:t>Given independence, schema deployment and initial full loads can be parallelized heavily:</w:t>
      </w:r>
    </w:p>
    <w:p>
      <w:pPr>
        <w:spacing w:after="80"/>
        <w:ind w:left="360"/>
      </w:pPr>
      <w:r>
        <w:rPr>
          <w:b/>
        </w:rPr>
        <w:t>Parallel Group A (Masters):</w:t>
      </w:r>
      <w:r>
        <w:t xml:space="preserve"> dim_account, dim_kyc, dim_card, dim_loan, dim_policy, dim_portfolio (all can run in parallel if infrastructure allows).</w:t>
      </w:r>
    </w:p>
    <w:p>
      <w:pPr>
        <w:spacing w:after="80"/>
        <w:ind w:left="360"/>
      </w:pPr>
      <w:r>
        <w:rPr>
          <w:b/>
        </w:rPr>
        <w:t>Parallel Group B (Fact):</w:t>
      </w:r>
      <w:r>
        <w:t xml:space="preserve"> fact_neft_rtgs can run in parallel too, but operationally it is better to load after at least dim_account is loaded so reconciliation and referential checks can be performed immediately.</w:t>
      </w:r>
    </w:p>
    <w:p>
      <w:pPr>
        <w:spacing w:after="80"/>
      </w:pPr>
      <w:r>
        <w:t>3.4 Key identifications required before first load</w:t>
      </w:r>
    </w:p>
    <w:p>
      <w:pPr>
        <w:spacing w:after="80"/>
      </w:pPr>
      <w:r>
        <w:t>Before loading any table, confirm:</w:t>
      </w:r>
    </w:p>
    <w:p>
      <w:pPr>
        <w:spacing w:after="80"/>
        <w:ind w:left="360"/>
      </w:pPr>
      <w:r>
        <w:t>Uniqueness of inferred PKs (card_id, account_id, policy_id, loan_id, payment_id).</w:t>
      </w:r>
    </w:p>
    <w:p>
      <w:pPr>
        <w:spacing w:after="80"/>
        <w:ind w:left="360"/>
      </w:pPr>
      <w:r>
        <w:t>Nullability and duplicate rates.</w:t>
      </w:r>
    </w:p>
    <w:p>
      <w:pPr>
        <w:spacing w:after="80"/>
        <w:ind w:left="360"/>
      </w:pPr>
      <w:r>
        <w:t>Presence/meaning of customer_id across tables (format consistency, case sensitivity, leading zeros).</w:t>
      </w:r>
    </w:p>
    <w:p>
      <w:pPr>
        <w:spacing w:before="360"/>
      </w:pPr>
      <w:r>
        <w:rPr>
          <w:b/>
          <w:color w:val="0F4C81"/>
          <w:sz w:val="36"/>
        </w:rPr>
        <w:t>SECTION 4: BATCH MIGRATION PLAN</w:t>
      </w:r>
    </w:p>
    <w:p>
      <w:pPr>
        <w:spacing w:after="80"/>
      </w:pPr>
      <w:r>
        <w:t>Batch 1 (Independent Tables)</w:t>
      </w:r>
    </w:p>
    <w:p>
      <w:pPr>
        <w:spacing w:after="80"/>
      </w:pPr>
      <w:r>
        <w:t>Since no declared dependencies exist, all tables qualify as independent physically. For operational control, Batch 1 should include the “core anchors” first:</w:t>
      </w:r>
    </w:p>
    <w:p>
      <w:pPr>
        <w:spacing w:after="80"/>
        <w:ind w:left="360"/>
      </w:pPr>
      <w:r>
        <w:t>core_banking.dim_account</w:t>
      </w:r>
    </w:p>
    <w:p>
      <w:pPr>
        <w:spacing w:after="80"/>
        <w:ind w:left="360"/>
      </w:pPr>
      <w:r>
        <w:t>risk_compliance.dim_kyc</w:t>
      </w:r>
    </w:p>
    <w:p>
      <w:pPr>
        <w:spacing w:after="80"/>
      </w:pPr>
      <w:r>
        <w:t>Batch 2 (Medium Dependency Tables)</w:t>
      </w:r>
    </w:p>
    <w:p>
      <w:pPr>
        <w:spacing w:after="80"/>
      </w:pPr>
      <w:r>
        <w:t>Tables that logically depend on customer_id conformance and are typically validated against account/customer populations:</w:t>
      </w:r>
    </w:p>
    <w:p>
      <w:pPr>
        <w:spacing w:after="80"/>
        <w:ind w:left="360"/>
      </w:pPr>
      <w:r>
        <w:t>cards.dim_card</w:t>
      </w:r>
    </w:p>
    <w:p>
      <w:pPr>
        <w:spacing w:after="80"/>
        <w:ind w:left="360"/>
      </w:pPr>
      <w:r>
        <w:t>lending.dim_loan</w:t>
      </w:r>
    </w:p>
    <w:p>
      <w:pPr>
        <w:spacing w:after="80"/>
        <w:ind w:left="360"/>
      </w:pPr>
      <w:r>
        <w:t>insurance.dim_policy</w:t>
      </w:r>
    </w:p>
    <w:p>
      <w:pPr>
        <w:spacing w:after="80"/>
        <w:ind w:left="360"/>
      </w:pPr>
      <w:r>
        <w:t>wealth.dim_portfolio</w:t>
      </w:r>
    </w:p>
    <w:p>
      <w:pPr>
        <w:spacing w:after="80"/>
      </w:pPr>
      <w:r>
        <w:t>Batch 3 (High Dependency Tables)</w:t>
      </w:r>
    </w:p>
    <w:p>
      <w:pPr>
        <w:spacing w:after="80"/>
      </w:pPr>
      <w:r>
        <w:t>Transaction facts are “high dependency” logically because they are validated by joins to master data and time dimensions:</w:t>
      </w:r>
    </w:p>
    <w:p>
      <w:pPr>
        <w:spacing w:after="80"/>
        <w:ind w:left="360"/>
      </w:pPr>
      <w:r>
        <w:t>payments.fact_neft_rtgs</w:t>
      </w:r>
    </w:p>
    <w:p>
      <w:pPr>
        <w:spacing w:after="80"/>
      </w:pPr>
      <w:r>
        <w:t>Batch 4 (Views)</w:t>
      </w:r>
    </w:p>
    <w:p>
      <w:pPr>
        <w:spacing w:after="80"/>
      </w:pPr>
      <w:r>
        <w:t>No views provided in metadata. If views exist in the source, migrate in this batch after all underlying tables are loaded and validated. For Fabric, consider implementing semantic views as:</w:t>
      </w:r>
    </w:p>
    <w:p>
      <w:pPr>
        <w:spacing w:after="80"/>
        <w:ind w:left="360"/>
      </w:pPr>
      <w:r>
        <w:t>Lakehouse SQL views over Silver/Gold tables, and/or</w:t>
      </w:r>
    </w:p>
    <w:p>
      <w:pPr>
        <w:spacing w:after="80"/>
        <w:ind w:left="360"/>
      </w:pPr>
      <w:r>
        <w:t>Warehouse views if using Fabric Warehouse for serving.</w:t>
      </w:r>
    </w:p>
    <w:p>
      <w:pPr>
        <w:spacing w:after="80"/>
      </w:pPr>
      <w:r>
        <w:t>Batch 5 (Stored Procedures)</w:t>
      </w:r>
    </w:p>
    <w:p>
      <w:pPr>
        <w:spacing w:after="80"/>
      </w:pPr>
      <w:r>
        <w:t>No stored procedures provided. If they exist:</w:t>
      </w:r>
    </w:p>
    <w:p>
      <w:pPr>
        <w:spacing w:after="80"/>
        <w:ind w:left="360"/>
      </w:pPr>
      <w:r>
        <w:rPr>
          <w:b/>
        </w:rPr>
        <w:t>Classify by purpose:</w:t>
      </w:r>
      <w:r>
        <w:t xml:space="preserve"> ETL/procedural transforms vs reporting utilities.</w:t>
      </w:r>
    </w:p>
    <w:p>
      <w:pPr>
        <w:spacing w:after="80"/>
        <w:ind w:left="360"/>
      </w:pPr>
      <w:r>
        <w:t>Prefer re-implementing ETL logic in Fabric Data Factory / notebooks / Spark SQL.</w:t>
      </w:r>
    </w:p>
    <w:p>
      <w:pPr>
        <w:spacing w:after="80"/>
        <w:ind w:left="360"/>
      </w:pPr>
      <w:r>
        <w:t>Keep only necessary serving procedures in Warehouse if required, and refactor procedural patterns to set-based transformations.</w:t>
      </w:r>
    </w:p>
    <w:p>
      <w:pPr>
        <w:spacing w:before="360"/>
      </w:pPr>
      <w:r>
        <w:rPr>
          <w:b/>
          <w:color w:val="0F4C81"/>
          <w:sz w:val="36"/>
        </w:rPr>
        <w:t>SECTION 5: MEDALLION ARCHITECTURE MAPPING</w:t>
      </w:r>
    </w:p>
    <w:p>
      <w:pPr>
        <w:spacing w:after="80"/>
      </w:pPr>
      <w:r>
        <w:t>Guiding principle used: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raw, source-aligned ingestion with minimal transformation (append-only where feasible).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cleansed, conformed, deduplicated, type-corrected, with business keys standardized and sensitive columns governed.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aggregated, denormalized, reporting-ready models (KPIs, snapshots, marts).</w:t>
      </w:r>
    </w:p>
    <w:p>
      <w:pPr>
        <w:spacing w:after="80"/>
      </w:pPr>
      <w:r>
        <w:t>Table-by-table mapping (what each becomes in the medallion path)</w:t>
      </w:r>
    </w:p>
    <w:p>
      <w:pPr>
        <w:spacing w:after="80"/>
      </w:pPr>
      <w:r>
        <w:t>cards.dim_card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Ingest as-is from source. Preserve raw card_number and cvv_stored only if policy allows; otherwise land encrypted/tokenized or exclude.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“Card” dimension: standardize customer_id, normalize status values, enforce one row per card_id, handle slowly changing attributes if needed (card_status, limits).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Card portfolio summaries by customer, product, network, status; utilization metrics (current_outstanding vs credit_limit), delinquency proxies if present.</w:t>
      </w:r>
    </w:p>
    <w:p>
      <w:pPr>
        <w:spacing w:after="80"/>
      </w:pPr>
      <w:r>
        <w:t>core_banking.dim_account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account snapshot as received.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“Account” dimension: validate IBAN/IFSC formats, standardize currency codes, enforce one row per account_id, optionally implement SCD for balances/status if the source is snapshot-based.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Customer-account rollups: balances by product, dormancy segmentation, branch-level summaries.</w:t>
      </w:r>
    </w:p>
    <w:p>
      <w:pPr>
        <w:spacing w:after="80"/>
      </w:pPr>
      <w:r>
        <w:t>insurance.dim_policy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policy records.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“Policy” dimension: validate dates (start/end/next_due), normalize policy_status, protect sensitive health fields, ensure one row per policy_id (or model effective dating if multiple records per policy).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Premium and coverage analytics: sum assured by product/channel, lapsed policy rates, renewal/due pipeline.</w:t>
      </w:r>
    </w:p>
    <w:p>
      <w:pPr>
        <w:spacing w:after="80"/>
      </w:pPr>
      <w:r>
        <w:t>lending.dim_loan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loan master records.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“Loan” dimension: normalize dpd_bucket, asset_classification, loan_status; validate EMI schedule dates; ensure one row per loan_id; consider SCD if delinquency changes over time.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Credit risk and portfolio KPIs: outstanding by asset class, DPD distribution, branch/product delinquency, collections pipeline.</w:t>
      </w:r>
    </w:p>
    <w:p>
      <w:pPr>
        <w:spacing w:after="80"/>
      </w:pPr>
      <w:r>
        <w:t>payments.fact_neft_rtgs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payment events (append-only strongly preferred). initiation_timestamp is central for incremental ingestion and partitioning.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Cleansed payment fact: standardize rail values (NEFT/RTGS), validate UTR formats, deduplicate by payment_id/utr_number+timestamp, conform to account/customer if keys exist in full schema.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Payment volumes and value analytics by day, rail, customer segment, branch; SLA metrics (if completion timestamps exist), anomaly detection feeds.</w:t>
      </w:r>
    </w:p>
    <w:p>
      <w:pPr>
        <w:spacing w:after="80"/>
      </w:pPr>
      <w:r>
        <w:t>risk_compliance.dim_kyc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KYC status/profile.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KYC dimension: normalize KYC status, verification level, document types; implement effective dating if KYC can change; enforce one record per customer_id per effective period.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Compliance dashboards: KYC completion rates, aging of pending KYC, high-risk segmentation (if fields exist).</w:t>
      </w:r>
    </w:p>
    <w:p>
      <w:pPr>
        <w:spacing w:after="80"/>
      </w:pPr>
      <w:r>
        <w:t>wealth.dim_portfolio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portfolio records.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portfolio dimension: normalize portfolio types, valuations, relationship to customer; ensure uniqueness rules.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AUM and portfolio segmentation: AUM by product/asset class, customer wealth tiers, performance (if returns exist).</w:t>
      </w:r>
    </w:p>
    <w:p>
      <w:pPr>
        <w:spacing w:before="360"/>
      </w:pPr>
      <w:r>
        <w:rPr>
          <w:b/>
          <w:color w:val="0F4C81"/>
          <w:sz w:val="36"/>
        </w:rPr>
        <w:t>SECTION 6: MICROSOFT FABRIC ARCHITECTURE</w:t>
      </w:r>
    </w:p>
    <w:p>
      <w:pPr>
        <w:spacing w:after="80"/>
      </w:pPr>
      <w:r>
        <w:t>6.1 Proposed Fabric components</w:t>
      </w:r>
    </w:p>
    <w:p>
      <w:pPr>
        <w:spacing w:after="80"/>
        <w:ind w:left="360"/>
      </w:pPr>
      <w:r>
        <w:t>OneLake as the unified storage layer.</w:t>
      </w:r>
    </w:p>
    <w:p>
      <w:pPr>
        <w:spacing w:after="80"/>
        <w:ind w:left="360"/>
      </w:pPr>
      <w:r>
        <w:t>Fabric Lakehouse as the primary data engineering store for Bronze and Silver.</w:t>
      </w:r>
    </w:p>
    <w:p>
      <w:pPr>
        <w:spacing w:after="80"/>
        <w:ind w:left="360"/>
      </w:pPr>
      <w:r>
        <w:t>Optional Fabric Warehouse (or Lakehouse SQL endpoint) for serving Gold and BI consumers depending on performance and governance needs.</w:t>
      </w:r>
    </w:p>
    <w:p>
      <w:pPr>
        <w:spacing w:after="80"/>
        <w:ind w:left="360"/>
      </w:pPr>
      <w:r>
        <w:t>Fabric Data Factory pipelines for orchestration and scheduling.</w:t>
      </w:r>
    </w:p>
    <w:p>
      <w:pPr>
        <w:spacing w:after="80"/>
        <w:ind w:left="360"/>
      </w:pPr>
      <w:r>
        <w:t>Notebooks (Spark) and/or Dataflows Gen2 for transformations, data quality checks, and conforming logic.</w:t>
      </w:r>
    </w:p>
    <w:p>
      <w:pPr>
        <w:spacing w:after="80"/>
        <w:ind w:left="360"/>
      </w:pPr>
      <w:r>
        <w:t>Semantic model in Power BI (Fabric) for curated Gold consumption.</w:t>
      </w:r>
    </w:p>
    <w:p>
      <w:pPr>
        <w:spacing w:after="80"/>
      </w:pPr>
      <w:r>
        <w:t>6.2 Lakehouse layout (recommended)</w:t>
      </w:r>
    </w:p>
    <w:p>
      <w:pPr>
        <w:spacing w:after="80"/>
      </w:pPr>
      <w:r>
        <w:t>Create a single Lakehouse for this workload initially (scale out later by domain if needed):</w:t>
      </w:r>
    </w:p>
    <w:p>
      <w:pPr>
        <w:spacing w:after="80"/>
        <w:ind w:left="360"/>
      </w:pPr>
      <w:r>
        <w:rPr>
          <w:b/>
        </w:rPr>
        <w:t>Lakehouse schemas/folders aligned to medallion:</w:t>
      </w:r>
      <w:r/>
    </w:p>
    <w:p>
      <w:pPr>
        <w:spacing w:after="80"/>
        <w:ind w:left="360"/>
      </w:pPr>
      <w:r>
        <w:t>bronze/cards, bronze/core_banking, bronze/insurance, bronze/lending, bronze/payments, bronze/risk_compliance, bronze/wealth</w:t>
      </w:r>
    </w:p>
    <w:p>
      <w:pPr>
        <w:spacing w:after="80"/>
        <w:ind w:left="360"/>
      </w:pPr>
      <w:r>
        <w:t>silver/conformed (shared dimensions), silver/domain (domain-specific curated tables)</w:t>
      </w:r>
    </w:p>
    <w:p>
      <w:pPr>
        <w:spacing w:after="80"/>
        <w:ind w:left="360"/>
      </w:pPr>
      <w:r>
        <w:t>gold/marts (payments mart, lending mart, customer 360 mart, etc.)</w:t>
      </w:r>
    </w:p>
    <w:p>
      <w:pPr>
        <w:spacing w:after="80"/>
      </w:pPr>
      <w:r>
        <w:t>6.3 Security and governance in Fabric</w:t>
      </w:r>
    </w:p>
    <w:p>
      <w:pPr>
        <w:spacing w:after="80"/>
        <w:ind w:left="360"/>
      </w:pPr>
      <w:r>
        <w:rPr>
          <w:b/>
        </w:rPr>
        <w:t>Workspace separation:</w:t>
      </w:r>
      <w:r>
        <w:t xml:space="preserve"> dev/test/prod with deployment pipelines.</w:t>
      </w:r>
    </w:p>
    <w:p>
      <w:pPr>
        <w:spacing w:after="80"/>
        <w:ind w:left="360"/>
      </w:pPr>
      <w:r>
        <w:rPr>
          <w:b/>
        </w:rPr>
        <w:t>RBAC and item permissions:</w:t>
      </w:r>
      <w:r/>
    </w:p>
    <w:p>
      <w:pPr>
        <w:spacing w:after="80"/>
        <w:ind w:left="360"/>
      </w:pPr>
      <w:r>
        <w:t>Restrict access to Bronze (especially card_number, cvv_stored, nominee, DOB, medical fields).</w:t>
      </w:r>
    </w:p>
    <w:p>
      <w:pPr>
        <w:spacing w:after="80"/>
        <w:ind w:left="360"/>
      </w:pPr>
      <w:r>
        <w:t>Provide broader access to Gold only.</w:t>
      </w:r>
    </w:p>
    <w:p>
      <w:pPr>
        <w:spacing w:after="80"/>
        <w:ind w:left="360"/>
      </w:pPr>
      <w:r>
        <w:t>Apply sensitivity labels and Purview integration where available.</w:t>
      </w:r>
    </w:p>
    <w:p>
      <w:pPr>
        <w:spacing w:after="80"/>
        <w:ind w:left="360"/>
      </w:pPr>
      <w:r>
        <w:rPr>
          <w:b/>
        </w:rPr>
        <w:t>Encryption:</w:t>
      </w:r>
      <w:r/>
    </w:p>
    <w:p>
      <w:pPr>
        <w:spacing w:after="80"/>
        <w:ind w:left="360"/>
      </w:pPr>
      <w:r>
        <w:t>Ensure encryption at rest (Fabric/OneLake default) and add column-level protection patterns (tokenization/masking) for PCI/PII.</w:t>
      </w:r>
    </w:p>
    <w:p>
      <w:pPr>
        <w:spacing w:after="80"/>
        <w:ind w:left="360"/>
      </w:pPr>
      <w:r>
        <w:rPr>
          <w:b/>
        </w:rPr>
        <w:t>If cvv_stored is truly present, enforce a policy decision:</w:t>
      </w:r>
      <w:r/>
    </w:p>
    <w:p>
      <w:pPr>
        <w:spacing w:after="80"/>
        <w:ind w:left="360"/>
      </w:pPr>
      <w:r>
        <w:rPr>
          <w:b/>
        </w:rPr>
        <w:t>Prefer:</w:t>
      </w:r>
      <w:r>
        <w:t xml:space="preserve"> do not migrate CVV; or migrate only as irreversibly tokenized/encrypted with strict isolation.</w:t>
      </w:r>
    </w:p>
    <w:p>
      <w:pPr>
        <w:spacing w:after="80"/>
      </w:pPr>
      <w:r>
        <w:t>6.4 Data integration approach</w:t>
      </w:r>
    </w:p>
    <w:p>
      <w:pPr>
        <w:spacing w:after="80"/>
        <w:ind w:left="360"/>
      </w:pPr>
      <w:r>
        <w:t>Use Fabric Data Factory Copy activity or shortcut-based ingestion if the sources are in ADLS/OneLake compatible stores.</w:t>
      </w:r>
    </w:p>
    <w:p>
      <w:pPr>
        <w:spacing w:after="80"/>
        <w:ind w:left="360"/>
      </w:pPr>
      <w:r>
        <w:t>Prefer incremental ingestion for fact_neft_rtgs using initiation_timestamp and/or a high-watermark strategy.</w:t>
      </w:r>
    </w:p>
    <w:p>
      <w:pPr>
        <w:spacing w:after="80"/>
        <w:ind w:left="360"/>
      </w:pPr>
      <w:r>
        <w:rPr>
          <w:b/>
        </w:rPr>
        <w:t>For dimensions, use either:</w:t>
      </w:r>
      <w:r/>
    </w:p>
    <w:p>
      <w:pPr>
        <w:spacing w:after="80"/>
        <w:ind w:left="360"/>
      </w:pPr>
      <w:r>
        <w:t>periodic full refresh (given small sizes), or</w:t>
      </w:r>
    </w:p>
    <w:p>
      <w:pPr>
        <w:spacing w:after="80"/>
        <w:ind w:left="360"/>
      </w:pPr>
      <w:r>
        <w:t>incremental/SCD merge if changes must be historized.</w:t>
      </w:r>
    </w:p>
    <w:p>
      <w:pPr>
        <w:spacing w:before="360"/>
      </w:pPr>
      <w:r>
        <w:rPr>
          <w:b/>
          <w:color w:val="0F4C81"/>
          <w:sz w:val="36"/>
        </w:rPr>
        <w:t>SECTION 7: FINAL ARCHITECTURE FLOW</w:t>
      </w:r>
    </w:p>
    <w:p>
      <w:pPr>
        <w:spacing w:after="80"/>
      </w:pPr>
      <w:r>
        <w:t>7.1 End-to-end flow (source to consumption)</w:t>
      </w:r>
    </w:p>
    <w:p>
      <w:pPr>
        <w:spacing w:after="80"/>
      </w:pPr>
      <w:r>
        <w:t>1) Extract/ingest from source database into Fabric Bronze (Delta/Parquet in Lakehouse).</w:t>
      </w:r>
    </w:p>
    <w:p>
      <w:pPr>
        <w:spacing w:after="80"/>
        <w:ind w:left="360"/>
      </w:pPr>
      <w:r>
        <w:t>Preserve source schema names as part of the Bronze path.</w:t>
      </w:r>
    </w:p>
    <w:p>
      <w:pPr>
        <w:spacing w:after="80"/>
        <w:ind w:left="360"/>
      </w:pPr>
      <w:r>
        <w:t>Capture ingestion metadata columns (ingestion_datetime, source_system, batch_id).</w:t>
      </w:r>
    </w:p>
    <w:p>
      <w:pPr>
        <w:spacing w:after="80"/>
      </w:pPr>
      <w:r>
        <w:t>2) Validate and standardize into Silver:</w:t>
      </w:r>
    </w:p>
    <w:p>
      <w:pPr>
        <w:spacing w:after="80"/>
        <w:ind w:left="360"/>
      </w:pPr>
      <w:r>
        <w:t>Type enforcement, trimming, null handling, deduplication.</w:t>
      </w:r>
    </w:p>
    <w:p>
      <w:pPr>
        <w:spacing w:after="80"/>
        <w:ind w:left="360"/>
      </w:pPr>
      <w:r>
        <w:t>Standardize conformed identifiers (customer_id format rules).</w:t>
      </w:r>
    </w:p>
    <w:p>
      <w:pPr>
        <w:spacing w:after="80"/>
        <w:ind w:left="360"/>
      </w:pPr>
      <w:r>
        <w:t>Apply business rules for statuses and categorical fields (e.g., account_status, policy_status, loan_status).</w:t>
      </w:r>
    </w:p>
    <w:p>
      <w:pPr>
        <w:spacing w:after="80"/>
        <w:ind w:left="360"/>
      </w:pPr>
      <w:r>
        <w:rPr>
          <w:b/>
        </w:rPr>
        <w:t>Apply privacy rules:</w:t>
      </w:r>
      <w:r>
        <w:t xml:space="preserve"> masking/tokenization for PII/PCI fields as required.</w:t>
      </w:r>
    </w:p>
    <w:p>
      <w:pPr>
        <w:spacing w:after="80"/>
      </w:pPr>
      <w:r>
        <w:t>3) Curate Gold:</w:t>
      </w:r>
    </w:p>
    <w:p>
      <w:pPr>
        <w:spacing w:after="80"/>
        <w:ind w:left="360"/>
      </w:pPr>
      <w:r>
        <w:rPr>
          <w:b/>
        </w:rPr>
        <w:t>Build marts and aggregates:</w:t>
      </w:r>
      <w:r/>
    </w:p>
    <w:p>
      <w:pPr>
        <w:spacing w:after="80"/>
        <w:ind w:left="360"/>
      </w:pPr>
      <w:r>
        <w:t>Customer 360 (joining account/card/loan/policy/portfolio and KYC flags)</w:t>
      </w:r>
    </w:p>
    <w:p>
      <w:pPr>
        <w:spacing w:after="80"/>
        <w:ind w:left="360"/>
      </w:pPr>
      <w:r>
        <w:t>Payments analytics mart (volumes by rail/time)</w:t>
      </w:r>
    </w:p>
    <w:p>
      <w:pPr>
        <w:spacing w:after="80"/>
        <w:ind w:left="360"/>
      </w:pPr>
      <w:r>
        <w:t>Lending risk mart (DPD, asset class, outstanding)</w:t>
      </w:r>
    </w:p>
    <w:p>
      <w:pPr>
        <w:spacing w:after="80"/>
        <w:ind w:left="360"/>
      </w:pPr>
      <w:r>
        <w:t>Insurance premium and lapse mart</w:t>
      </w:r>
    </w:p>
    <w:p>
      <w:pPr>
        <w:spacing w:after="80"/>
      </w:pPr>
      <w:r>
        <w:t>4) Serve to analytics:</w:t>
      </w:r>
    </w:p>
    <w:p>
      <w:pPr>
        <w:spacing w:after="80"/>
        <w:ind w:left="360"/>
      </w:pPr>
      <w:r>
        <w:t>Power BI semantic model connects to Gold tables (Warehouse or Lakehouse SQL endpoint).</w:t>
      </w:r>
    </w:p>
    <w:p>
      <w:pPr>
        <w:spacing w:after="80"/>
        <w:ind w:left="360"/>
      </w:pPr>
      <w:r>
        <w:t>Row-level security can be applied for branch/channel segmentation if needed.</w:t>
      </w:r>
    </w:p>
    <w:p>
      <w:pPr>
        <w:spacing w:after="80"/>
      </w:pPr>
      <w:r>
        <w:t>7.2 Data quality gates (recommended)</w:t>
      </w:r>
    </w:p>
    <w:p>
      <w:pPr>
        <w:spacing w:after="80"/>
        <w:ind w:left="360"/>
      </w:pPr>
      <w:r>
        <w:rPr>
          <w:b/>
        </w:rPr>
        <w:t>Bronze-to-Silver gates:</w:t>
      </w:r>
      <w:r/>
    </w:p>
    <w:p>
      <w:pPr>
        <w:spacing w:after="80"/>
        <w:ind w:left="360"/>
      </w:pPr>
      <w:r>
        <w:t>PK uniqueness (card_id/account_id/policy_id/loan_id/payment_id)</w:t>
      </w:r>
    </w:p>
    <w:p>
      <w:pPr>
        <w:spacing w:after="80"/>
        <w:ind w:left="360"/>
      </w:pPr>
      <w:r>
        <w:t>Not-null checks on essential keys and date fields</w:t>
      </w:r>
    </w:p>
    <w:p>
      <w:pPr>
        <w:spacing w:after="80"/>
        <w:ind w:left="360"/>
      </w:pPr>
      <w:r>
        <w:t>Duplicate detection on business keys (account_number, IBAN, UTR)</w:t>
      </w:r>
    </w:p>
    <w:p>
      <w:pPr>
        <w:spacing w:after="80"/>
        <w:ind w:left="360"/>
      </w:pPr>
      <w:r>
        <w:rPr>
          <w:b/>
        </w:rPr>
        <w:t>Silver-to-Gold gates:</w:t>
      </w:r>
      <w:r/>
    </w:p>
    <w:p>
      <w:pPr>
        <w:spacing w:after="80"/>
        <w:ind w:left="360"/>
      </w:pPr>
      <w:r>
        <w:t>Reconciliation counts vs Bronze</w:t>
      </w:r>
    </w:p>
    <w:p>
      <w:pPr>
        <w:spacing w:after="80"/>
        <w:ind w:left="360"/>
      </w:pPr>
      <w:r>
        <w:t>Aggregate checks (e.g., sum of current_balance not negative beyond policy; outstanding_principal consistency)</w:t>
      </w:r>
    </w:p>
    <w:p>
      <w:pPr>
        <w:spacing w:after="80"/>
        <w:ind w:left="360"/>
      </w:pPr>
      <w:r>
        <w:t>Time-series completeness for payment events by day</w:t>
      </w:r>
    </w:p>
    <w:p>
      <w:pPr>
        <w:spacing w:before="360"/>
      </w:pPr>
      <w:r>
        <w:rPr>
          <w:b/>
          <w:color w:val="0F4C81"/>
          <w:sz w:val="36"/>
        </w:rPr>
        <w:t>SECTION 8: EXECUTION PLAN</w:t>
      </w:r>
    </w:p>
    <w:p>
      <w:pPr>
        <w:spacing w:after="80"/>
      </w:pPr>
      <w:r>
        <w:t>8.1 Table-wise load strategy (Full vs Incremental) with rationale</w:t>
      </w:r>
    </w:p>
    <w:p>
      <w:pPr>
        <w:spacing w:after="80"/>
      </w:pPr>
      <w:r>
        <w:t>Because volumes are currently small, full loads are feasible across the board for initial cutover. Incremental should be enabled where the table is expected to grow or change frequently.</w:t>
      </w:r>
    </w:p>
    <w:p>
      <w:pPr>
        <w:spacing w:after="80"/>
      </w:pPr>
      <w:r>
        <w:t>cards.dim_card (4,000 rows)</w:t>
      </w:r>
    </w:p>
    <w:p>
      <w:pPr>
        <w:spacing w:after="80"/>
        <w:ind w:left="360"/>
      </w:pPr>
      <w:r>
        <w:rPr>
          <w:b/>
        </w:rPr>
        <w:t>Initial load:</w:t>
      </w:r>
      <w:r>
        <w:t xml:space="preserve"> Full Load.</w:t>
      </w:r>
    </w:p>
    <w:p>
      <w:pPr>
        <w:spacing w:after="80"/>
        <w:ind w:left="360"/>
      </w:pPr>
      <w:r>
        <w:rPr>
          <w:b/>
        </w:rPr>
        <w:t>Ongoing:</w:t>
      </w:r>
      <w:r>
        <w:t xml:space="preserve"> Incremental (Merge/Upsert) recommended.</w:t>
      </w:r>
    </w:p>
    <w:p>
      <w:pPr>
        <w:spacing w:after="80"/>
      </w:pPr>
      <w:r>
        <w:t>Operational logic:</w:t>
      </w:r>
    </w:p>
    <w:p>
      <w:pPr>
        <w:spacing w:after="80"/>
        <w:ind w:left="360"/>
      </w:pPr>
      <w:r>
        <w:t>Use issue_date/statement_date or a last_updated timestamp if available (not shown). If no reliable watermark exists, use full refresh nightly (still small) or implement CDC at source if available.</w:t>
      </w:r>
    </w:p>
    <w:p>
      <w:pPr>
        <w:spacing w:after="80"/>
      </w:pPr>
      <w:r>
        <w:t>Parallelization: Can run in parallel with other dimensions.</w:t>
      </w:r>
    </w:p>
    <w:p>
      <w:pPr>
        <w:spacing w:after="80"/>
      </w:pPr>
      <w:r>
        <w:t>core_banking.dim_account (8,000 rows)</w:t>
      </w:r>
    </w:p>
    <w:p>
      <w:pPr>
        <w:spacing w:after="80"/>
        <w:ind w:left="360"/>
      </w:pPr>
      <w:r>
        <w:rPr>
          <w:b/>
        </w:rPr>
        <w:t>Initial load:</w:t>
      </w:r>
      <w:r>
        <w:t xml:space="preserve"> Full Load.</w:t>
      </w:r>
    </w:p>
    <w:p>
      <w:pPr>
        <w:spacing w:after="80"/>
        <w:ind w:left="360"/>
      </w:pPr>
      <w:r>
        <w:rPr>
          <w:b/>
        </w:rPr>
        <w:t>Ongoing:</w:t>
      </w:r>
      <w:r>
        <w:t xml:space="preserve"> Incremental (Merge/Upsert) recommended because balances/status change.</w:t>
      </w:r>
    </w:p>
    <w:p>
      <w:pPr>
        <w:spacing w:after="80"/>
      </w:pPr>
      <w:r>
        <w:t>Operational logic:</w:t>
      </w:r>
    </w:p>
    <w:p>
      <w:pPr>
        <w:spacing w:after="80"/>
        <w:ind w:left="360"/>
      </w:pPr>
      <w:r>
        <w:t>Prefer last_txn_date as a partial indicator, but it’s not a true update timestamp. Ideally use source CDC or an audit column. Without it, full refresh is acceptable given size.</w:t>
      </w:r>
    </w:p>
    <w:p>
      <w:pPr>
        <w:spacing w:after="80"/>
      </w:pPr>
      <w:r>
        <w:t>Parallelization: Run early; can run in parallel.</w:t>
      </w:r>
    </w:p>
    <w:p>
      <w:pPr>
        <w:spacing w:after="80"/>
      </w:pPr>
      <w:r>
        <w:t>insurance.dim_policy (2,000 rows)</w:t>
      </w:r>
    </w:p>
    <w:p>
      <w:pPr>
        <w:spacing w:after="80"/>
        <w:ind w:left="360"/>
      </w:pPr>
      <w:r>
        <w:rPr>
          <w:b/>
        </w:rPr>
        <w:t>Initial load:</w:t>
      </w:r>
      <w:r>
        <w:t xml:space="preserve"> Full Load.</w:t>
      </w:r>
    </w:p>
    <w:p>
      <w:pPr>
        <w:spacing w:after="80"/>
        <w:ind w:left="360"/>
      </w:pPr>
      <w:r>
        <w:rPr>
          <w:b/>
        </w:rPr>
        <w:t>Ongoing:</w:t>
      </w:r>
      <w:r>
        <w:t xml:space="preserve"> Incremental (Merge/Upsert) recommended (status, next_due_date, lapse_date can change).</w:t>
      </w:r>
    </w:p>
    <w:p>
      <w:pPr>
        <w:spacing w:after="80"/>
      </w:pPr>
      <w:r>
        <w:t>Operational logic:</w:t>
      </w:r>
    </w:p>
    <w:p>
      <w:pPr>
        <w:spacing w:after="80"/>
        <w:ind w:left="360"/>
      </w:pPr>
      <w:r>
        <w:t>Use next_due_date/lapse_date/policy_status changes; ideally a last_updated column or CDC. If absent, periodic full refresh is acceptable.</w:t>
      </w:r>
    </w:p>
    <w:p>
      <w:pPr>
        <w:spacing w:after="80"/>
      </w:pPr>
      <w:r>
        <w:t>lending.dim_loan (1,500 rows)</w:t>
      </w:r>
    </w:p>
    <w:p>
      <w:pPr>
        <w:spacing w:after="80"/>
        <w:ind w:left="360"/>
      </w:pPr>
      <w:r>
        <w:rPr>
          <w:b/>
        </w:rPr>
        <w:t>Initial load:</w:t>
      </w:r>
      <w:r>
        <w:t xml:space="preserve"> Full Load.</w:t>
      </w:r>
    </w:p>
    <w:p>
      <w:pPr>
        <w:spacing w:after="80"/>
        <w:ind w:left="360"/>
      </w:pPr>
      <w:r>
        <w:rPr>
          <w:b/>
        </w:rPr>
        <w:t>Ongoing:</w:t>
      </w:r>
      <w:r>
        <w:t xml:space="preserve"> Incremental (Merge/Upsert) strongly recommended since DPD, outstanding amounts, and status change frequently.</w:t>
      </w:r>
    </w:p>
    <w:p>
      <w:pPr>
        <w:spacing w:after="80"/>
      </w:pPr>
      <w:r>
        <w:t>Operational logic:</w:t>
      </w:r>
    </w:p>
    <w:p>
      <w:pPr>
        <w:spacing w:after="80"/>
        <w:ind w:left="360"/>
      </w:pPr>
      <w:r>
        <w:t>If no update timestamp, consider daily snapshotting into Silver (append snapshots) and derive “current state” as latest snapshot; this avoids missing changes.</w:t>
      </w:r>
    </w:p>
    <w:p>
      <w:pPr>
        <w:spacing w:after="80"/>
      </w:pPr>
      <w:r>
        <w:t>payments.fact_neft_rtgs (20,000 rows)</w:t>
      </w:r>
    </w:p>
    <w:p>
      <w:pPr>
        <w:spacing w:after="80"/>
        <w:ind w:left="360"/>
      </w:pPr>
      <w:r>
        <w:rPr>
          <w:b/>
        </w:rPr>
        <w:t>Initial load:</w:t>
      </w:r>
      <w:r>
        <w:t xml:space="preserve"> Full Load (historical backfill).</w:t>
      </w:r>
    </w:p>
    <w:p>
      <w:pPr>
        <w:spacing w:after="80"/>
        <w:ind w:left="360"/>
      </w:pPr>
      <w:r>
        <w:rPr>
          <w:b/>
        </w:rPr>
        <w:t>Ongoing:</w:t>
      </w:r>
      <w:r>
        <w:t xml:space="preserve"> Incremental Load strongly recommended (append-only).</w:t>
      </w:r>
    </w:p>
    <w:p>
      <w:pPr>
        <w:spacing w:after="80"/>
      </w:pPr>
      <w:r>
        <w:t>Operational logic:</w:t>
      </w:r>
    </w:p>
    <w:p>
      <w:pPr>
        <w:spacing w:after="80"/>
        <w:ind w:left="360"/>
      </w:pPr>
      <w:r>
        <w:rPr>
          <w:b/>
        </w:rPr>
        <w:t>Watermark column:</w:t>
      </w:r>
      <w:r>
        <w:t xml:space="preserve"> initiation_timestamp (provided).</w:t>
      </w:r>
    </w:p>
    <w:p>
      <w:pPr>
        <w:spacing w:after="80"/>
        <w:ind w:left="360"/>
      </w:pPr>
      <w:r>
        <w:rPr>
          <w:b/>
        </w:rPr>
        <w:t>Incremental pattern:</w:t>
      </w:r>
      <w:r>
        <w:t xml:space="preserve"> load records where initiation_timestamp &gt; last_successful_watermark, with a small lookback window to catch late-arriving records (e.g., 1–2 days) plus deduplication by payment_id.</w:t>
      </w:r>
    </w:p>
    <w:p>
      <w:pPr>
        <w:spacing w:after="80"/>
      </w:pPr>
      <w:r>
        <w:t>Partitioning: partition by date(initiation_timestamp) in Bronze/Silver for performance.</w:t>
      </w:r>
    </w:p>
    <w:p>
      <w:pPr>
        <w:spacing w:after="80"/>
      </w:pPr>
      <w:r>
        <w:t>Parallelization: Can run in parallel, but validate against dim_account once available (if account keys exist in full schema).</w:t>
      </w:r>
    </w:p>
    <w:p>
      <w:pPr>
        <w:spacing w:after="80"/>
      </w:pPr>
      <w:r>
        <w:t>risk_compliance.dim_kyc (5,000 rows)</w:t>
      </w:r>
    </w:p>
    <w:p>
      <w:pPr>
        <w:spacing w:after="80"/>
        <w:ind w:left="360"/>
      </w:pPr>
      <w:r>
        <w:rPr>
          <w:b/>
        </w:rPr>
        <w:t>Initial load:</w:t>
      </w:r>
      <w:r>
        <w:t xml:space="preserve"> Full Load.</w:t>
      </w:r>
    </w:p>
    <w:p>
      <w:pPr>
        <w:spacing w:after="80"/>
        <w:ind w:left="360"/>
      </w:pPr>
      <w:r>
        <w:rPr>
          <w:b/>
        </w:rPr>
        <w:t>Ongoing:</w:t>
      </w:r>
      <w:r>
        <w:t xml:space="preserve"> Incremental (Merge/Upsert) recommended (KYC status changes).</w:t>
      </w:r>
    </w:p>
    <w:p>
      <w:pPr>
        <w:spacing w:after="80"/>
      </w:pPr>
      <w:r>
        <w:t>Operational logic:</w:t>
      </w:r>
    </w:p>
    <w:p>
      <w:pPr>
        <w:spacing w:after="80"/>
        <w:ind w:left="360"/>
      </w:pPr>
      <w:r>
        <w:t>If KYC is event-based, store as history in Silver with effective_from/effective_to; otherwise, upsert current status.</w:t>
      </w:r>
    </w:p>
    <w:p>
      <w:pPr>
        <w:spacing w:after="80"/>
      </w:pPr>
      <w:r>
        <w:t>wealth.dim_portfolio (750 rows)</w:t>
      </w:r>
    </w:p>
    <w:p>
      <w:pPr>
        <w:spacing w:after="80"/>
        <w:ind w:left="360"/>
      </w:pPr>
      <w:r>
        <w:rPr>
          <w:b/>
        </w:rPr>
        <w:t>Initial load:</w:t>
      </w:r>
      <w:r>
        <w:t xml:space="preserve"> Full Load.</w:t>
      </w:r>
    </w:p>
    <w:p>
      <w:pPr>
        <w:spacing w:after="80"/>
        <w:ind w:left="360"/>
      </w:pPr>
      <w:r>
        <w:rPr>
          <w:b/>
        </w:rPr>
        <w:t>Ongoing:</w:t>
      </w:r>
      <w:r>
        <w:t xml:space="preserve"> Full refresh acceptable; incremental optional depending on valuation frequency.</w:t>
      </w:r>
    </w:p>
    <w:p>
      <w:pPr>
        <w:spacing w:after="80"/>
      </w:pPr>
      <w:r>
        <w:t>Operational logic:</w:t>
      </w:r>
    </w:p>
    <w:p>
      <w:pPr>
        <w:spacing w:after="80"/>
        <w:ind w:left="360"/>
      </w:pPr>
      <w:r>
        <w:t>If portfolio valuations change daily and you need trend analysis, implement snapshotting; otherwise upsert current.</w:t>
      </w:r>
    </w:p>
    <w:p>
      <w:pPr>
        <w:spacing w:after="80"/>
      </w:pPr>
      <w:r>
        <w:t>8.2 Execution sequencing and parallel dependency batches (operational runbook)</w:t>
      </w:r>
    </w:p>
    <w:p>
      <w:pPr>
        <w:spacing w:after="80"/>
        <w:ind w:left="360"/>
      </w:pPr>
      <w:r>
        <w:rPr>
          <w:b/>
        </w:rPr>
        <w:t>Phase 0 (Foundation):</w:t>
      </w:r>
      <w:r/>
    </w:p>
    <w:p>
      <w:pPr>
        <w:spacing w:after="80"/>
        <w:ind w:left="360"/>
      </w:pPr>
      <w:r>
        <w:t>Provision Fabric workspace(s), Lakehouse, security model, Key Vault/secret management, network settings.</w:t>
      </w:r>
    </w:p>
    <w:p>
      <w:pPr>
        <w:spacing w:after="80"/>
        <w:ind w:left="360"/>
      </w:pPr>
      <w:r>
        <w:t>Define naming conventions, medallion folders, and ingestion metadata columns.</w:t>
      </w:r>
    </w:p>
    <w:p>
      <w:pPr>
        <w:spacing w:after="80"/>
        <w:ind w:left="360"/>
      </w:pPr>
      <w:r>
        <w:rPr>
          <w:b/>
        </w:rPr>
        <w:t>Phase 1 (Batch 1):</w:t>
      </w:r>
      <w:r/>
    </w:p>
    <w:p>
      <w:pPr>
        <w:spacing w:after="80"/>
        <w:ind w:left="360"/>
      </w:pPr>
      <w:r>
        <w:t>Load dim_account and dim_kyc to Bronze then Silver.</w:t>
      </w:r>
    </w:p>
    <w:p>
      <w:pPr>
        <w:spacing w:after="80"/>
        <w:ind w:left="360"/>
      </w:pPr>
      <w:r>
        <w:t>Run uniqueness and null checks; confirm customer_id format baselines.</w:t>
      </w:r>
    </w:p>
    <w:p>
      <w:pPr>
        <w:spacing w:after="80"/>
        <w:ind w:left="360"/>
      </w:pPr>
      <w:r>
        <w:rPr>
          <w:b/>
        </w:rPr>
        <w:t>Phase 2 (Batch 2):</w:t>
      </w:r>
      <w:r/>
    </w:p>
    <w:p>
      <w:pPr>
        <w:spacing w:after="80"/>
        <w:ind w:left="360"/>
      </w:pPr>
      <w:r>
        <w:t>Load dim_card, dim_loan, dim_policy, dim_portfolio to Bronze then Silver in parallel.</w:t>
      </w:r>
    </w:p>
    <w:p>
      <w:pPr>
        <w:spacing w:after="80"/>
        <w:ind w:left="360"/>
      </w:pPr>
      <w:r>
        <w:t>Apply PII/PCI handling (masking/tokenization) during Silver creation.</w:t>
      </w:r>
    </w:p>
    <w:p>
      <w:pPr>
        <w:spacing w:after="80"/>
        <w:ind w:left="360"/>
      </w:pPr>
      <w:r>
        <w:rPr>
          <w:b/>
        </w:rPr>
        <w:t>Phase 3 (Batch 3):</w:t>
      </w:r>
      <w:r/>
    </w:p>
    <w:p>
      <w:pPr>
        <w:spacing w:after="80"/>
        <w:ind w:left="360"/>
      </w:pPr>
      <w:r>
        <w:t>Load fact_neft_rtgs to Bronze then Silver using initiation_timestamp watermark for incremental going forward.</w:t>
      </w:r>
    </w:p>
    <w:p>
      <w:pPr>
        <w:spacing w:after="80"/>
        <w:ind w:left="360"/>
      </w:pPr>
      <w:r>
        <w:t>Validate counts and duplicates; reconcile by day.</w:t>
      </w:r>
    </w:p>
    <w:p>
      <w:pPr>
        <w:spacing w:after="80"/>
        <w:ind w:left="360"/>
      </w:pPr>
      <w:r>
        <w:rPr>
          <w:b/>
        </w:rPr>
        <w:t>Phase 4 (Gold build):</w:t>
      </w:r>
      <w:r/>
    </w:p>
    <w:p>
      <w:pPr>
        <w:spacing w:after="80"/>
        <w:ind w:left="360"/>
      </w:pPr>
      <w:r>
        <w:t>Build Gold marts and aggregates; publish semantic model.</w:t>
      </w:r>
    </w:p>
    <w:p>
      <w:pPr>
        <w:spacing w:after="80"/>
        <w:ind w:left="360"/>
      </w:pPr>
      <w:r>
        <w:rPr>
          <w:b/>
        </w:rPr>
        <w:t>Phase 5 (Cutover and stabilization):</w:t>
      </w:r>
      <w:r/>
    </w:p>
    <w:p>
      <w:pPr>
        <w:spacing w:after="80"/>
        <w:ind w:left="360"/>
      </w:pPr>
      <w:r>
        <w:t>Run parallel loads, compare outputs, finalize run schedules, implement monitoring and alerting.</w:t>
      </w:r>
    </w:p>
    <w:p>
      <w:pPr>
        <w:spacing w:after="80"/>
      </w:pPr>
      <w:r>
        <w:t>8.3 Monitoring and controls</w:t>
      </w:r>
    </w:p>
    <w:p>
      <w:pPr>
        <w:spacing w:after="80"/>
        <w:ind w:left="360"/>
      </w:pPr>
      <w:r>
        <w:rPr>
          <w:b/>
        </w:rPr>
        <w:t>Pipeline run monitoring:</w:t>
      </w:r>
      <w:r>
        <w:t xml:space="preserve"> failures, retries, SLA.</w:t>
      </w:r>
    </w:p>
    <w:p>
      <w:pPr>
        <w:spacing w:after="80"/>
        <w:ind w:left="360"/>
      </w:pPr>
      <w:r>
        <w:rPr>
          <w:b/>
        </w:rPr>
        <w:t>Data drift detection:</w:t>
      </w:r>
      <w:r>
        <w:t xml:space="preserve"> schema changes (new columns, type changes).</w:t>
      </w:r>
    </w:p>
    <w:p>
      <w:pPr>
        <w:spacing w:after="80"/>
        <w:ind w:left="360"/>
      </w:pPr>
      <w:r>
        <w:rPr>
          <w:b/>
        </w:rPr>
        <w:t>Data quality dashboards:</w:t>
      </w:r>
      <w:r>
        <w:t xml:space="preserve"> PK duplicates, null rates, late arriving payment rates.</w:t>
      </w:r>
    </w:p>
    <w:p>
      <w:pPr>
        <w:spacing w:after="80"/>
        <w:ind w:left="360"/>
      </w:pPr>
      <w:r>
        <w:rPr>
          <w:b/>
        </w:rPr>
        <w:t>Cost controls:</w:t>
      </w:r>
      <w:r>
        <w:t xml:space="preserve"> limit unnecessary full refreshes once incrementals are stable.</w:t>
      </w:r>
    </w:p>
    <w:p>
      <w:pPr>
        <w:spacing w:before="360"/>
      </w:pPr>
      <w:r>
        <w:rPr>
          <w:b/>
          <w:color w:val="0F4C81"/>
          <w:sz w:val="36"/>
        </w:rPr>
        <w:t>SECTION 9: TOKEN AND COST REPORT</w:t>
      </w:r>
    </w:p>
    <w:p>
      <w:pPr>
        <w:spacing w:after="80"/>
      </w:pPr>
      <w:r>
        <w:t>9.1 What can be reported from this execution</w:t>
      </w:r>
    </w:p>
    <w:p>
      <w:pPr>
        <w:spacing w:after="80"/>
      </w:pPr>
      <w:r>
        <w:t>This response was generated without access to your actual API telemetry, token counters, or billing meter. Therefore, exact values for token usage, request/response token counts, latency, and cost cannot be measured from within the chat.</w:t>
      </w:r>
    </w:p>
    <w:p>
      <w:pPr>
        <w:spacing w:after="80"/>
      </w:pPr>
      <w:r>
        <w:t>9.2 Estimated complexity indicators (based on provided metadata)</w:t>
      </w:r>
    </w:p>
    <w:p>
      <w:pPr>
        <w:spacing w:after="80"/>
      </w:pPr>
      <w:r>
        <w:t>- Objects assessed: 7 tables, 162 columns, 0 declared FK constraints, 7 schemas.</w:t>
      </w:r>
    </w:p>
    <w:p>
      <w:pPr>
        <w:spacing w:after="80"/>
      </w:pPr>
      <w:r>
        <w:t>- Planning artifacts produced: dependency evaluation, migration sequencing, batch plan, medallion mapping, Fabric target architecture, flow, and load strategy per table.</w:t>
      </w:r>
    </w:p>
    <w:p>
      <w:pPr>
        <w:spacing w:after="80"/>
      </w:pPr>
      <w:r>
        <w:t>9.3 How to capture the real token/cost metrics (recommended)</w:t>
      </w:r>
    </w:p>
    <w:p>
      <w:pPr>
        <w:spacing w:after="80"/>
      </w:pPr>
      <w:r>
        <w:t>To produce an auditable token and cost report for Microsoft AI Foundry / Azure OpenAI usage, capture and store:</w:t>
      </w:r>
    </w:p>
    <w:p>
      <w:pPr>
        <w:spacing w:after="80"/>
      </w:pPr>
      <w:r>
        <w:t>- Model name and version</w:t>
      </w:r>
    </w:p>
    <w:p>
      <w:pPr>
        <w:spacing w:after="80"/>
      </w:pPr>
      <w:r>
        <w:t>- Prompt tokens, completion tokens, total tokens</w:t>
      </w:r>
    </w:p>
    <w:p>
      <w:pPr>
        <w:spacing w:after="80"/>
      </w:pPr>
      <w:r>
        <w:t>- Request id, timestamp, latency</w:t>
      </w:r>
    </w:p>
    <w:p>
      <w:pPr>
        <w:spacing w:after="80"/>
      </w:pPr>
      <w:r>
        <w:t>- Unit price per 1K/1M tokens for the deployed model</w:t>
      </w:r>
    </w:p>
    <w:p>
      <w:pPr>
        <w:spacing w:after="80"/>
      </w:pPr>
      <w:r>
        <w:t>- Total cost per request and rolled-up cost per assessment run</w:t>
      </w:r>
    </w:p>
    <w:p>
      <w:pPr>
        <w:spacing w:after="80"/>
      </w:pPr>
      <w:r>
        <w:t>If you share the API response headers/log fields your runtime captures (or the raw usage object if available), I can compute and format the final token and cost totals for this specific run.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