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黑体"/>
          <w:b/>
          <w:color w:val="1F3A5F"/>
          <w:sz w:val="52"/>
        </w:rPr>
        <w:t>单细胞细胞类型注释与稀有细胞识别</w:t>
        <w:br/>
        <w:t>多方法评估系统</w:t>
      </w:r>
    </w:p>
    <w:p/>
    <w:p>
      <w:pPr>
        <w:jc w:val="center"/>
      </w:pPr>
      <w:r>
        <w:rPr>
          <w:rFonts w:ascii="Times New Roman" w:hAnsi="Times New Roman" w:eastAsia="宋体"/>
          <w:b/>
          <w:color w:val="666666"/>
          <w:sz w:val="40"/>
        </w:rPr>
        <w:t>scAnnoRare</w:t>
      </w:r>
    </w:p>
    <w:p/>
    <w:p/>
    <w:p/>
    <w:p>
      <w:pPr>
        <w:jc w:val="center"/>
      </w:pPr>
      <w:r>
        <w:rPr>
          <w:rFonts w:ascii="Times New Roman" w:hAnsi="Times New Roman" w:eastAsia="黑体"/>
          <w:b/>
          <w:color w:val="333333"/>
          <w:sz w:val="48"/>
        </w:rPr>
        <w:t>用 户 操 作 手 册</w:t>
      </w:r>
    </w:p>
    <w:p/>
    <w:p>
      <w:pPr>
        <w:jc w:val="center"/>
      </w:pPr>
      <w:r>
        <w:rPr>
          <w:rFonts w:ascii="Times New Roman" w:hAnsi="Times New Roman" w:eastAsia="宋体"/>
          <w:b w:val="0"/>
          <w:color w:val="666666"/>
          <w:sz w:val="32"/>
        </w:rPr>
        <w:t>Version 1.0</w:t>
      </w:r>
    </w:p>
    <w:p/>
    <w:p/>
    <w:p/>
    <w:p/>
    <w:p/>
    <w:p/>
    <w:p>
      <w:pPr>
        <w:jc w:val="center"/>
      </w:pPr>
      <w:r>
        <w:rPr>
          <w:rFonts w:ascii="Times New Roman" w:hAnsi="Times New Roman" w:eastAsia="宋体"/>
          <w:b w:val="0"/>
          <w:color w:val="222222"/>
          <w:sz w:val="24"/>
        </w:rPr>
        <w:t>软件名称：单细胞细胞类型注释与稀有细胞识别多方法评估系统</w:t>
      </w:r>
    </w:p>
    <w:p>
      <w:pPr>
        <w:jc w:val="center"/>
      </w:pPr>
      <w:r>
        <w:rPr>
          <w:rFonts w:ascii="Times New Roman" w:hAnsi="Times New Roman" w:eastAsia="宋体"/>
          <w:b w:val="0"/>
          <w:color w:val="222222"/>
          <w:sz w:val="24"/>
        </w:rPr>
        <w:t>软件版本：V1.0</w:t>
      </w:r>
    </w:p>
    <w:p>
      <w:pPr>
        <w:jc w:val="center"/>
      </w:pPr>
      <w:r>
        <w:rPr>
          <w:rFonts w:ascii="Times New Roman" w:hAnsi="Times New Roman" w:eastAsia="宋体"/>
          <w:b w:val="0"/>
          <w:color w:val="222222"/>
          <w:sz w:val="24"/>
        </w:rPr>
        <w:t>英文简称：scAnnoRare</w:t>
      </w:r>
    </w:p>
    <w:p>
      <w:pPr>
        <w:jc w:val="center"/>
      </w:pPr>
      <w:r>
        <w:rPr>
          <w:rFonts w:ascii="Times New Roman" w:hAnsi="Times New Roman" w:eastAsia="宋体"/>
          <w:b w:val="0"/>
          <w:color w:val="222222"/>
          <w:sz w:val="24"/>
        </w:rPr>
        <w:t>文档类型：用户操作手册</w:t>
      </w:r>
    </w:p>
    <w:p>
      <w:pPr>
        <w:jc w:val="center"/>
      </w:pPr>
      <w:r>
        <w:rPr>
          <w:rFonts w:ascii="Times New Roman" w:hAnsi="Times New Roman" w:eastAsia="宋体"/>
          <w:b w:val="0"/>
          <w:color w:val="222222"/>
          <w:sz w:val="24"/>
        </w:rPr>
        <w:t>文档版本：第一版</w:t>
      </w:r>
    </w:p>
    <w:p>
      <w:r>
        <w:br w:type="page"/>
      </w:r>
    </w:p>
    <w:p>
      <w:pPr>
        <w:spacing w:before="240" w:after="160"/>
      </w:pPr>
      <w:r>
        <w:rPr>
          <w:rFonts w:ascii="Times New Roman" w:hAnsi="Times New Roman" w:eastAsia="黑体"/>
          <w:b/>
          <w:color w:val="2C3E50"/>
          <w:sz w:val="28"/>
        </w:rPr>
        <w:t>版本修订记录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val="clear" w:fill="2C3E50"/>
          </w:tcPr>
          <w:p>
            <w:pPr>
              <w:jc w:val="center"/>
            </w:pPr>
            <w:r/>
            <w:r>
              <w:rPr>
                <w:rFonts w:ascii="Times New Roman" w:hAnsi="Times New Roman" w:eastAsia="黑体"/>
                <w:b/>
                <w:color w:val="FFFFFF"/>
                <w:sz w:val="21"/>
              </w:rPr>
              <w:t>文档版本</w:t>
            </w:r>
          </w:p>
        </w:tc>
        <w:tc>
          <w:tcPr>
            <w:tcW w:type="dxa" w:w="1701"/>
            <w:shd w:val="clear" w:fill="2C3E50"/>
          </w:tcPr>
          <w:p>
            <w:pPr>
              <w:jc w:val="center"/>
            </w:pPr>
            <w:r/>
            <w:r>
              <w:rPr>
                <w:rFonts w:ascii="Times New Roman" w:hAnsi="Times New Roman" w:eastAsia="黑体"/>
                <w:b/>
                <w:color w:val="FFFFFF"/>
                <w:sz w:val="21"/>
              </w:rPr>
              <w:t>对应软件版本</w:t>
            </w:r>
          </w:p>
        </w:tc>
        <w:tc>
          <w:tcPr>
            <w:tcW w:type="dxa" w:w="1701"/>
            <w:shd w:val="clear" w:fill="2C3E50"/>
          </w:tcPr>
          <w:p>
            <w:pPr>
              <w:jc w:val="center"/>
            </w:pPr>
            <w:r/>
            <w:r>
              <w:rPr>
                <w:rFonts w:ascii="Times New Roman" w:hAnsi="Times New Roman" w:eastAsia="黑体"/>
                <w:b/>
                <w:color w:val="FFFFFF"/>
                <w:sz w:val="21"/>
              </w:rPr>
              <w:t>修订日期</w:t>
            </w:r>
          </w:p>
        </w:tc>
        <w:tc>
          <w:tcPr>
            <w:tcW w:type="dxa" w:w="3969"/>
            <w:shd w:val="clear" w:fill="2C3E50"/>
          </w:tcPr>
          <w:p>
            <w:pPr>
              <w:jc w:val="center"/>
            </w:pPr>
            <w:r/>
            <w:r>
              <w:rPr>
                <w:rFonts w:ascii="Times New Roman" w:hAnsi="Times New Roman" w:eastAsia="黑体"/>
                <w:b/>
                <w:color w:val="FFFFFF"/>
                <w:sz w:val="21"/>
              </w:rPr>
              <w:t>修订说明</w:t>
            </w:r>
          </w:p>
        </w:tc>
      </w:tr>
      <w:tr>
        <w:tc>
          <w:tcPr>
            <w:tcW w:type="dxa" w:w="1417"/>
          </w:tcPr>
          <w:p>
            <w:pPr>
              <w:spacing w:after="40" w:lineRule="exact" w:line="360"/>
            </w:pPr>
            <w:r/>
            <w:r>
              <w:rPr>
                <w:rFonts w:ascii="Times New Roman" w:hAnsi="Times New Roman" w:eastAsia="宋体"/>
                <w:b w:val="0"/>
                <w:color w:val="222222"/>
                <w:sz w:val="20"/>
              </w:rPr>
              <w:t>第一版</w:t>
            </w:r>
          </w:p>
        </w:tc>
        <w:tc>
          <w:tcPr>
            <w:tcW w:type="dxa" w:w="1701"/>
          </w:tcPr>
          <w:p>
            <w:pPr>
              <w:spacing w:after="40" w:lineRule="exact" w:line="360"/>
            </w:pPr>
            <w:r/>
            <w:r>
              <w:rPr>
                <w:rFonts w:ascii="Times New Roman" w:hAnsi="Times New Roman" w:eastAsia="宋体"/>
                <w:b w:val="0"/>
                <w:color w:val="222222"/>
                <w:sz w:val="20"/>
              </w:rPr>
              <w:t>V1.0</w:t>
            </w:r>
          </w:p>
        </w:tc>
        <w:tc>
          <w:tcPr>
            <w:tcW w:type="dxa" w:w="1701"/>
          </w:tcPr>
          <w:p>
            <w:pPr>
              <w:spacing w:after="40" w:lineRule="exact" w:line="360"/>
            </w:pPr>
            <w:r/>
            <w:r>
              <w:rPr>
                <w:rFonts w:ascii="Times New Roman" w:hAnsi="Times New Roman" w:eastAsia="宋体"/>
                <w:b w:val="0"/>
                <w:color w:val="222222"/>
                <w:sz w:val="20"/>
              </w:rPr>
              <w:t>2026-06</w:t>
            </w:r>
          </w:p>
        </w:tc>
        <w:tc>
          <w:tcPr>
            <w:tcW w:type="dxa" w:w="3969"/>
          </w:tcPr>
          <w:p>
            <w:pPr>
              <w:spacing w:after="40" w:lineRule="exact" w:line="360"/>
            </w:pPr>
            <w:r/>
            <w:r>
              <w:rPr>
                <w:rFonts w:ascii="Times New Roman" w:hAnsi="Times New Roman" w:eastAsia="宋体"/>
                <w:b w:val="0"/>
                <w:color w:val="222222"/>
                <w:sz w:val="20"/>
              </w:rPr>
              <w:t>首次发布，覆盖登录、节点配对、数据集注册、实验配置、方法评估、多方法对比、报告中心等核心功能的操作说明。</w:t>
            </w:r>
          </w:p>
        </w:tc>
      </w:tr>
    </w:tbl>
    <w:p>
      <w:pPr>
        <w:spacing w:after="160"/>
      </w:pPr>
    </w:p>
    <w:p>
      <w:pPr>
        <w:spacing w:before="0" w:after="120" w:lineRule="exact" w:line="440"/>
        <w:ind w:firstLine="480"/>
      </w:pPr>
      <w:r>
        <w:rPr>
          <w:rFonts w:ascii="Times New Roman" w:hAnsi="Times New Roman" w:eastAsia="宋体"/>
          <w:b w:val="0"/>
          <w:color w:val="222222"/>
          <w:sz w:val="24"/>
        </w:rPr>
        <w:t>本手册随软件版本迭代持续更新。后续版本将补充内置算法调用、远程服务器计算、团队协作等功能的操作说明。</w:t>
      </w:r>
    </w:p>
    <w:p>
      <w:r>
        <w:br w:type="page"/>
      </w:r>
    </w:p>
    <w:p>
      <w:pPr>
        <w:spacing w:before="240" w:after="160"/>
      </w:pPr>
      <w:r>
        <w:rPr>
          <w:rFonts w:ascii="Times New Roman" w:hAnsi="Times New Roman" w:eastAsia="黑体"/>
          <w:b/>
          <w:color w:val="2C3E50"/>
          <w:sz w:val="28"/>
        </w:rPr>
        <w:t>目　录</w:t>
      </w:r>
    </w:p>
    <w:p>
      <w:pPr>
        <w:spacing w:after="80"/>
        <w:ind w:left="240"/>
      </w:pPr>
      <w:r>
        <w:rPr>
          <w:rFonts w:ascii="Times New Roman" w:hAnsi="Times New Roman" w:eastAsia="宋体"/>
          <w:b w:val="0"/>
          <w:color w:val="222222"/>
          <w:sz w:val="24"/>
        </w:rPr>
        <w:t>第 1 章  软件概述</w:t>
      </w:r>
    </w:p>
    <w:p>
      <w:pPr>
        <w:spacing w:after="80"/>
        <w:ind w:left="240"/>
      </w:pPr>
      <w:r>
        <w:rPr>
          <w:rFonts w:ascii="Times New Roman" w:hAnsi="Times New Roman" w:eastAsia="宋体"/>
          <w:b w:val="0"/>
          <w:color w:val="222222"/>
          <w:sz w:val="24"/>
        </w:rPr>
        <w:t>第 2 章  系统架构</w:t>
      </w:r>
    </w:p>
    <w:p>
      <w:pPr>
        <w:spacing w:after="80"/>
        <w:ind w:left="240"/>
      </w:pPr>
      <w:r>
        <w:rPr>
          <w:rFonts w:ascii="Times New Roman" w:hAnsi="Times New Roman" w:eastAsia="宋体"/>
          <w:b w:val="0"/>
          <w:color w:val="222222"/>
          <w:sz w:val="24"/>
        </w:rPr>
        <w:t>第 3 章  运行环境与部署</w:t>
      </w:r>
    </w:p>
    <w:p>
      <w:pPr>
        <w:spacing w:after="80"/>
        <w:ind w:left="240"/>
      </w:pPr>
      <w:r>
        <w:rPr>
          <w:rFonts w:ascii="Times New Roman" w:hAnsi="Times New Roman" w:eastAsia="宋体"/>
          <w:b w:val="0"/>
          <w:color w:val="222222"/>
          <w:sz w:val="24"/>
        </w:rPr>
        <w:t>第 4 章  快速入门</w:t>
      </w:r>
    </w:p>
    <w:p>
      <w:pPr>
        <w:spacing w:after="80"/>
        <w:ind w:left="240"/>
      </w:pPr>
      <w:r>
        <w:rPr>
          <w:rFonts w:ascii="Times New Roman" w:hAnsi="Times New Roman" w:eastAsia="宋体"/>
          <w:b w:val="0"/>
          <w:color w:val="222222"/>
          <w:sz w:val="24"/>
        </w:rPr>
        <w:t>第 5 章  用户登录与账号管理</w:t>
      </w:r>
    </w:p>
    <w:p>
      <w:pPr>
        <w:spacing w:after="80"/>
        <w:ind w:left="240"/>
      </w:pPr>
      <w:r>
        <w:rPr>
          <w:rFonts w:ascii="Times New Roman" w:hAnsi="Times New Roman" w:eastAsia="宋体"/>
          <w:b w:val="0"/>
          <w:color w:val="222222"/>
          <w:sz w:val="24"/>
        </w:rPr>
        <w:t>第 6 章  计算节点配对</w:t>
      </w:r>
    </w:p>
    <w:p>
      <w:pPr>
        <w:spacing w:after="80"/>
        <w:ind w:left="240"/>
      </w:pPr>
      <w:r>
        <w:rPr>
          <w:rFonts w:ascii="Times New Roman" w:hAnsi="Times New Roman" w:eastAsia="宋体"/>
          <w:b w:val="0"/>
          <w:color w:val="222222"/>
          <w:sz w:val="24"/>
        </w:rPr>
        <w:t>第 7 章  首页控制台</w:t>
      </w:r>
    </w:p>
    <w:p>
      <w:pPr>
        <w:spacing w:after="80"/>
        <w:ind w:left="240"/>
      </w:pPr>
      <w:r>
        <w:rPr>
          <w:rFonts w:ascii="Times New Roman" w:hAnsi="Times New Roman" w:eastAsia="宋体"/>
          <w:b w:val="0"/>
          <w:color w:val="222222"/>
          <w:sz w:val="24"/>
        </w:rPr>
        <w:t>第 8 章  数据集注册与管理</w:t>
      </w:r>
    </w:p>
    <w:p>
      <w:pPr>
        <w:spacing w:after="80"/>
        <w:ind w:left="240"/>
      </w:pPr>
      <w:r>
        <w:rPr>
          <w:rFonts w:ascii="Times New Roman" w:hAnsi="Times New Roman" w:eastAsia="宋体"/>
          <w:b w:val="0"/>
          <w:color w:val="222222"/>
          <w:sz w:val="24"/>
        </w:rPr>
        <w:t>第 9 章  实验配置管理</w:t>
      </w:r>
    </w:p>
    <w:p>
      <w:pPr>
        <w:spacing w:after="80"/>
        <w:ind w:left="240"/>
      </w:pPr>
      <w:r>
        <w:rPr>
          <w:rFonts w:ascii="Times New Roman" w:hAnsi="Times New Roman" w:eastAsia="宋体"/>
          <w:b w:val="0"/>
          <w:color w:val="222222"/>
          <w:sz w:val="24"/>
        </w:rPr>
        <w:t>第 10 章  方法评估与运行</w:t>
      </w:r>
    </w:p>
    <w:p>
      <w:pPr>
        <w:spacing w:after="80"/>
        <w:ind w:left="240"/>
      </w:pPr>
      <w:r>
        <w:rPr>
          <w:rFonts w:ascii="Times New Roman" w:hAnsi="Times New Roman" w:eastAsia="宋体"/>
          <w:b w:val="0"/>
          <w:color w:val="222222"/>
          <w:sz w:val="24"/>
        </w:rPr>
        <w:t>第 11 章  多方法对比分析</w:t>
      </w:r>
    </w:p>
    <w:p>
      <w:pPr>
        <w:spacing w:after="80"/>
        <w:ind w:left="240"/>
      </w:pPr>
      <w:r>
        <w:rPr>
          <w:rFonts w:ascii="Times New Roman" w:hAnsi="Times New Roman" w:eastAsia="宋体"/>
          <w:b w:val="0"/>
          <w:color w:val="222222"/>
          <w:sz w:val="24"/>
        </w:rPr>
        <w:t>第 12 章  报告中心</w:t>
      </w:r>
    </w:p>
    <w:p>
      <w:pPr>
        <w:spacing w:after="80"/>
        <w:ind w:left="240"/>
      </w:pPr>
      <w:r>
        <w:rPr>
          <w:rFonts w:ascii="Times New Roman" w:hAnsi="Times New Roman" w:eastAsia="宋体"/>
          <w:b w:val="0"/>
          <w:color w:val="222222"/>
          <w:sz w:val="24"/>
        </w:rPr>
        <w:t>第 13 章  输入文件格式规范</w:t>
      </w:r>
    </w:p>
    <w:p>
      <w:pPr>
        <w:spacing w:after="80"/>
        <w:ind w:left="240"/>
      </w:pPr>
      <w:r>
        <w:rPr>
          <w:rFonts w:ascii="Times New Roman" w:hAnsi="Times New Roman" w:eastAsia="宋体"/>
          <w:b w:val="0"/>
          <w:color w:val="222222"/>
          <w:sz w:val="24"/>
        </w:rPr>
        <w:t>第 14 章  评估指标说明</w:t>
      </w:r>
    </w:p>
    <w:p>
      <w:pPr>
        <w:spacing w:after="80"/>
        <w:ind w:left="240"/>
      </w:pPr>
      <w:r>
        <w:rPr>
          <w:rFonts w:ascii="Times New Roman" w:hAnsi="Times New Roman" w:eastAsia="宋体"/>
          <w:b w:val="0"/>
          <w:color w:val="222222"/>
          <w:sz w:val="24"/>
        </w:rPr>
        <w:t>第 15 章  常见问题与故障排除</w:t>
      </w:r>
    </w:p>
    <w:p>
      <w:pPr>
        <w:spacing w:after="80"/>
        <w:ind w:left="240"/>
      </w:pPr>
      <w:r>
        <w:rPr>
          <w:rFonts w:ascii="Times New Roman" w:hAnsi="Times New Roman" w:eastAsia="宋体"/>
          <w:b w:val="0"/>
          <w:color w:val="222222"/>
          <w:sz w:val="24"/>
        </w:rPr>
        <w:t>附录 A  系统功能清单</w:t>
      </w:r>
    </w:p>
    <w:p>
      <w:pPr>
        <w:spacing w:after="80"/>
        <w:ind w:left="240"/>
      </w:pPr>
      <w:r>
        <w:rPr>
          <w:rFonts w:ascii="Times New Roman" w:hAnsi="Times New Roman" w:eastAsia="宋体"/>
          <w:b w:val="0"/>
          <w:color w:val="222222"/>
          <w:sz w:val="24"/>
        </w:rPr>
        <w:t>附录 B  API 接口一览</w:t>
      </w:r>
    </w:p>
    <w:p>
      <w:pPr>
        <w:spacing w:after="80"/>
        <w:ind w:left="240"/>
      </w:pPr>
      <w:r>
        <w:rPr>
          <w:rFonts w:ascii="Times New Roman" w:hAnsi="Times New Roman" w:eastAsia="宋体"/>
          <w:b w:val="0"/>
          <w:color w:val="222222"/>
          <w:sz w:val="24"/>
        </w:rPr>
        <w:t>附录 C  术语表</w:t>
      </w:r>
    </w:p>
    <w:p>
      <w:r>
        <w:br w:type="page"/>
      </w:r>
    </w:p>
    <w:p>
      <w:pPr>
        <w:spacing w:before="120" w:after="280"/>
      </w:pPr>
      <w:r>
        <w:rPr>
          <w:rFonts w:ascii="Times New Roman" w:hAnsi="Times New Roman" w:eastAsia="黑体"/>
          <w:b/>
          <w:color w:val="1F3A5F"/>
          <w:sz w:val="36"/>
        </w:rPr>
        <w:t>第 1 章  软件概述</w:t>
      </w:r>
    </w:p>
    <w:p>
      <w:pPr>
        <w:spacing w:before="240" w:after="160"/>
      </w:pPr>
      <w:r>
        <w:rPr>
          <w:rFonts w:ascii="Times New Roman" w:hAnsi="Times New Roman" w:eastAsia="黑体"/>
          <w:b/>
          <w:color w:val="2C3E50"/>
          <w:sz w:val="28"/>
        </w:rPr>
        <w:t>1.1 软件简介</w:t>
      </w:r>
    </w:p>
    <w:p>
      <w:pPr>
        <w:spacing w:before="0" w:after="120" w:lineRule="exact" w:line="440"/>
        <w:ind w:firstLine="480"/>
      </w:pPr>
      <w:r>
        <w:rPr>
          <w:rFonts w:ascii="Times New Roman" w:hAnsi="Times New Roman" w:eastAsia="宋体"/>
          <w:b w:val="0"/>
          <w:color w:val="222222"/>
          <w:sz w:val="24"/>
        </w:rPr>
        <w:t>单细胞细胞类型注释与稀有细胞识别多方法评估系统（英文简称 scAnnoRare）是一款面向单细胞 RNA 测序（scRNA-seq）数据分析的多方法评估平台。在单细胞数据分析中，细胞类型注释和稀有细胞识别是两类常见而重要的分析任务。现有方法众多，包括 CellTypist、scANVI、scNym、scBalance、sc-SynO、RaceID、GiniClust 等，但不同方法的输入格式、运行环境、输出格式和评估指标各不统一，科研人员在进行多方法横向比较时往往需要大量的手工处理。</w:t>
      </w:r>
    </w:p>
    <w:p>
      <w:pPr>
        <w:spacing w:before="0" w:after="120" w:lineRule="exact" w:line="440"/>
        <w:ind w:firstLine="480"/>
      </w:pPr>
      <w:r>
        <w:rPr>
          <w:rFonts w:ascii="Times New Roman" w:hAnsi="Times New Roman" w:eastAsia="宋体"/>
          <w:b w:val="0"/>
          <w:color w:val="222222"/>
          <w:sz w:val="24"/>
        </w:rPr>
        <w:t>scAnnoRare 通过统一的数据格式、统一的任务流程和统一的评估指标，帮助研究人员便捷地完成不同细胞注释与稀有细胞识别方法之间的比较分析。系统提供数据导入、数据概览、细胞类型分布统计、稀有类候选筛选、预测结果导入、多方法统一评估、多方法横向对比、可视化展示、实验报告生成以及本地计算资源检测等完整功能。</w:t>
      </w:r>
    </w:p>
    <w:p>
      <w:pPr>
        <w:spacing w:before="240" w:after="160"/>
      </w:pPr>
      <w:r>
        <w:rPr>
          <w:rFonts w:ascii="Times New Roman" w:hAnsi="Times New Roman" w:eastAsia="黑体"/>
          <w:b/>
          <w:color w:val="2C3E50"/>
          <w:sz w:val="28"/>
        </w:rPr>
        <w:t>1.2 软件名称与版本信息</w:t>
      </w:r>
    </w:p>
    <w:tbl>
      <w:tblPr>
        <w:tblStyle w:val="TableGrid"/>
        <w:tblW w:type="auto" w:w="0"/>
        <w:jc w:val="center"/>
        <w:tblLook w:firstColumn="1" w:firstRow="1" w:lastColumn="0" w:lastRow="0" w:noHBand="0" w:noVBand="1" w:val="04A0"/>
      </w:tblPr>
      <w:tblGrid>
        <w:gridCol w:w="4320"/>
        <w:gridCol w:w="4320"/>
      </w:tblGrid>
      <w:tr>
        <w:tc>
          <w:tcPr>
            <w:tcW w:type="dxa" w:w="2268"/>
            <w:shd w:val="clear" w:fill="2C3E50"/>
          </w:tcPr>
          <w:p>
            <w:pPr>
              <w:jc w:val="center"/>
            </w:pPr>
            <w:r/>
            <w:r>
              <w:rPr>
                <w:rFonts w:ascii="Times New Roman" w:hAnsi="Times New Roman" w:eastAsia="黑体"/>
                <w:b/>
                <w:color w:val="FFFFFF"/>
                <w:sz w:val="21"/>
              </w:rPr>
              <w:t>项目</w:t>
            </w:r>
          </w:p>
        </w:tc>
        <w:tc>
          <w:tcPr>
            <w:tcW w:type="dxa" w:w="6520"/>
            <w:shd w:val="clear" w:fill="2C3E50"/>
          </w:tcPr>
          <w:p>
            <w:pPr>
              <w:jc w:val="center"/>
            </w:pPr>
            <w:r/>
            <w:r>
              <w:rPr>
                <w:rFonts w:ascii="Times New Roman" w:hAnsi="Times New Roman" w:eastAsia="黑体"/>
                <w:b/>
                <w:color w:val="FFFFFF"/>
                <w:sz w:val="21"/>
              </w:rPr>
              <w:t>内容</w:t>
            </w:r>
          </w:p>
        </w:tc>
      </w:tr>
      <w:tr>
        <w:tc>
          <w:tcPr>
            <w:tcW w:type="dxa" w:w="2268"/>
          </w:tcPr>
          <w:p>
            <w:pPr>
              <w:spacing w:after="40" w:lineRule="exact" w:line="360"/>
            </w:pPr>
            <w:r/>
            <w:r>
              <w:rPr>
                <w:rFonts w:ascii="Times New Roman" w:hAnsi="Times New Roman" w:eastAsia="宋体"/>
                <w:b w:val="0"/>
                <w:color w:val="222222"/>
                <w:sz w:val="20"/>
              </w:rPr>
              <w:t>软件全称</w:t>
            </w:r>
          </w:p>
        </w:tc>
        <w:tc>
          <w:tcPr>
            <w:tcW w:type="dxa" w:w="6520"/>
          </w:tcPr>
          <w:p>
            <w:pPr>
              <w:spacing w:after="40" w:lineRule="exact" w:line="360"/>
            </w:pPr>
            <w:r/>
            <w:r>
              <w:rPr>
                <w:rFonts w:ascii="Times New Roman" w:hAnsi="Times New Roman" w:eastAsia="宋体"/>
                <w:b w:val="0"/>
                <w:color w:val="222222"/>
                <w:sz w:val="20"/>
              </w:rPr>
              <w:t>单细胞细胞类型注释与稀有细胞识别多方法评估系统</w:t>
            </w:r>
          </w:p>
        </w:tc>
      </w:tr>
      <w:tr>
        <w:tc>
          <w:tcPr>
            <w:tcW w:type="dxa" w:w="2268"/>
          </w:tcPr>
          <w:p>
            <w:pPr>
              <w:spacing w:after="40" w:lineRule="exact" w:line="360"/>
            </w:pPr>
            <w:r/>
            <w:r>
              <w:rPr>
                <w:rFonts w:ascii="Times New Roman" w:hAnsi="Times New Roman" w:eastAsia="宋体"/>
                <w:b w:val="0"/>
                <w:color w:val="222222"/>
                <w:sz w:val="20"/>
              </w:rPr>
              <w:t>英文简称</w:t>
            </w:r>
          </w:p>
        </w:tc>
        <w:tc>
          <w:tcPr>
            <w:tcW w:type="dxa" w:w="6520"/>
          </w:tcPr>
          <w:p>
            <w:pPr>
              <w:spacing w:after="40" w:lineRule="exact" w:line="360"/>
            </w:pPr>
            <w:r/>
            <w:r>
              <w:rPr>
                <w:rFonts w:ascii="Times New Roman" w:hAnsi="Times New Roman" w:eastAsia="宋体"/>
                <w:b w:val="0"/>
                <w:color w:val="222222"/>
                <w:sz w:val="20"/>
              </w:rPr>
              <w:t>scAnnoRare</w:t>
            </w:r>
          </w:p>
        </w:tc>
      </w:tr>
      <w:tr>
        <w:tc>
          <w:tcPr>
            <w:tcW w:type="dxa" w:w="2268"/>
          </w:tcPr>
          <w:p>
            <w:pPr>
              <w:spacing w:after="40" w:lineRule="exact" w:line="360"/>
            </w:pPr>
            <w:r/>
            <w:r>
              <w:rPr>
                <w:rFonts w:ascii="Times New Roman" w:hAnsi="Times New Roman" w:eastAsia="宋体"/>
                <w:b w:val="0"/>
                <w:color w:val="222222"/>
                <w:sz w:val="20"/>
              </w:rPr>
              <w:t>软件版本</w:t>
            </w:r>
          </w:p>
        </w:tc>
        <w:tc>
          <w:tcPr>
            <w:tcW w:type="dxa" w:w="6520"/>
          </w:tcPr>
          <w:p>
            <w:pPr>
              <w:spacing w:after="40" w:lineRule="exact" w:line="360"/>
            </w:pPr>
            <w:r/>
            <w:r>
              <w:rPr>
                <w:rFonts w:ascii="Times New Roman" w:hAnsi="Times New Roman" w:eastAsia="宋体"/>
                <w:b w:val="0"/>
                <w:color w:val="222222"/>
                <w:sz w:val="20"/>
              </w:rPr>
              <w:t>V1.0</w:t>
            </w:r>
          </w:p>
        </w:tc>
      </w:tr>
      <w:tr>
        <w:tc>
          <w:tcPr>
            <w:tcW w:type="dxa" w:w="2268"/>
          </w:tcPr>
          <w:p>
            <w:pPr>
              <w:spacing w:after="40" w:lineRule="exact" w:line="360"/>
            </w:pPr>
            <w:r/>
            <w:r>
              <w:rPr>
                <w:rFonts w:ascii="Times New Roman" w:hAnsi="Times New Roman" w:eastAsia="宋体"/>
                <w:b w:val="0"/>
                <w:color w:val="222222"/>
                <w:sz w:val="20"/>
              </w:rPr>
              <w:t>系统形态</w:t>
            </w:r>
          </w:p>
        </w:tc>
        <w:tc>
          <w:tcPr>
            <w:tcW w:type="dxa" w:w="6520"/>
          </w:tcPr>
          <w:p>
            <w:pPr>
              <w:spacing w:after="40" w:lineRule="exact" w:line="360"/>
            </w:pPr>
            <w:r/>
            <w:r>
              <w:rPr>
                <w:rFonts w:ascii="Times New Roman" w:hAnsi="Times New Roman" w:eastAsia="宋体"/>
                <w:b w:val="0"/>
                <w:color w:val="222222"/>
                <w:sz w:val="20"/>
              </w:rPr>
              <w:t>Web 主平台 + 桌面 Local Agent + 本地 Python 生信计算引擎</w:t>
            </w:r>
          </w:p>
        </w:tc>
      </w:tr>
      <w:tr>
        <w:tc>
          <w:tcPr>
            <w:tcW w:type="dxa" w:w="2268"/>
          </w:tcPr>
          <w:p>
            <w:pPr>
              <w:spacing w:after="40" w:lineRule="exact" w:line="360"/>
            </w:pPr>
            <w:r/>
            <w:r>
              <w:rPr>
                <w:rFonts w:ascii="Times New Roman" w:hAnsi="Times New Roman" w:eastAsia="宋体"/>
                <w:b w:val="0"/>
                <w:color w:val="222222"/>
                <w:sz w:val="20"/>
              </w:rPr>
              <w:t>前端技术</w:t>
            </w:r>
          </w:p>
        </w:tc>
        <w:tc>
          <w:tcPr>
            <w:tcW w:type="dxa" w:w="6520"/>
          </w:tcPr>
          <w:p>
            <w:pPr>
              <w:spacing w:after="40" w:lineRule="exact" w:line="360"/>
            </w:pPr>
            <w:r/>
            <w:r>
              <w:rPr>
                <w:rFonts w:ascii="Times New Roman" w:hAnsi="Times New Roman" w:eastAsia="宋体"/>
                <w:b w:val="0"/>
                <w:color w:val="222222"/>
                <w:sz w:val="20"/>
              </w:rPr>
              <w:t>Vue 3、TypeScript、Vite、Element Plus、ECharts</w:t>
            </w:r>
          </w:p>
        </w:tc>
      </w:tr>
      <w:tr>
        <w:tc>
          <w:tcPr>
            <w:tcW w:type="dxa" w:w="2268"/>
          </w:tcPr>
          <w:p>
            <w:pPr>
              <w:spacing w:after="40" w:lineRule="exact" w:line="360"/>
            </w:pPr>
            <w:r/>
            <w:r>
              <w:rPr>
                <w:rFonts w:ascii="Times New Roman" w:hAnsi="Times New Roman" w:eastAsia="宋体"/>
                <w:b w:val="0"/>
                <w:color w:val="222222"/>
                <w:sz w:val="20"/>
              </w:rPr>
              <w:t>后端技术</w:t>
            </w:r>
          </w:p>
        </w:tc>
        <w:tc>
          <w:tcPr>
            <w:tcW w:type="dxa" w:w="6520"/>
          </w:tcPr>
          <w:p>
            <w:pPr>
              <w:spacing w:after="40" w:lineRule="exact" w:line="360"/>
            </w:pPr>
            <w:r/>
            <w:r>
              <w:rPr>
                <w:rFonts w:ascii="Times New Roman" w:hAnsi="Times New Roman" w:eastAsia="宋体"/>
                <w:b w:val="0"/>
                <w:color w:val="222222"/>
                <w:sz w:val="20"/>
              </w:rPr>
              <w:t>FastAPI、SQLAlchemy、MySQL、Pydantic、Uvicorn</w:t>
            </w:r>
          </w:p>
        </w:tc>
      </w:tr>
      <w:tr>
        <w:tc>
          <w:tcPr>
            <w:tcW w:type="dxa" w:w="2268"/>
          </w:tcPr>
          <w:p>
            <w:pPr>
              <w:spacing w:after="40" w:lineRule="exact" w:line="360"/>
            </w:pPr>
            <w:r/>
            <w:r>
              <w:rPr>
                <w:rFonts w:ascii="Times New Roman" w:hAnsi="Times New Roman" w:eastAsia="宋体"/>
                <w:b w:val="0"/>
                <w:color w:val="222222"/>
                <w:sz w:val="20"/>
              </w:rPr>
              <w:t>计算引擎</w:t>
            </w:r>
          </w:p>
        </w:tc>
        <w:tc>
          <w:tcPr>
            <w:tcW w:type="dxa" w:w="6520"/>
          </w:tcPr>
          <w:p>
            <w:pPr>
              <w:spacing w:after="40" w:lineRule="exact" w:line="360"/>
            </w:pPr>
            <w:r/>
            <w:r>
              <w:rPr>
                <w:rFonts w:ascii="Times New Roman" w:hAnsi="Times New Roman" w:eastAsia="宋体"/>
                <w:b w:val="0"/>
                <w:color w:val="222222"/>
                <w:sz w:val="20"/>
              </w:rPr>
              <w:t>Python、scanpy、anndata、pandas、scikit-learn、matplotlib</w:t>
            </w:r>
          </w:p>
        </w:tc>
      </w:tr>
    </w:tbl>
    <w:p>
      <w:pPr>
        <w:spacing w:after="160"/>
      </w:pPr>
    </w:p>
    <w:p>
      <w:pPr>
        <w:spacing w:before="240" w:after="160"/>
      </w:pPr>
      <w:r>
        <w:rPr>
          <w:rFonts w:ascii="Times New Roman" w:hAnsi="Times New Roman" w:eastAsia="黑体"/>
          <w:b/>
          <w:color w:val="2C3E50"/>
          <w:sz w:val="28"/>
        </w:rPr>
        <w:t>1.3 系统定位</w:t>
      </w:r>
    </w:p>
    <w:p>
      <w:pPr>
        <w:spacing w:before="0" w:after="120" w:lineRule="exact" w:line="440"/>
        <w:ind w:firstLine="480"/>
      </w:pPr>
      <w:r>
        <w:rPr>
          <w:rFonts w:ascii="Times New Roman" w:hAnsi="Times New Roman" w:eastAsia="宋体"/>
          <w:b w:val="0"/>
          <w:color w:val="222222"/>
          <w:sz w:val="24"/>
        </w:rPr>
        <w:t>本系统是一个面向单细胞 RNA-seq 数据的细胞类型注释与稀有细胞识别多方法评估平台，支持 Web 实验管理、本地算力调用、预测结果导入、稀有类候选筛选、多方法对比、可视化展示与实验报告生成。</w:t>
      </w:r>
    </w:p>
    <w:p>
      <w:pPr>
        <w:spacing w:before="0" w:after="120" w:lineRule="exact" w:line="440"/>
        <w:ind w:firstLine="480"/>
      </w:pPr>
      <w:r>
        <w:rPr>
          <w:rFonts w:ascii="Times New Roman" w:hAnsi="Times New Roman" w:eastAsia="宋体"/>
          <w:b w:val="0"/>
          <w:color w:val="222222"/>
          <w:sz w:val="24"/>
        </w:rPr>
        <w:t>系统采用 Web 主平台与桌面客户端协同的架构。Web 主平台负责项目管理、实验配置、方法结果管理、任务状态展示、可视化展示和报告管理；桌面 Local Agent 负责本地 CPU/GPU 环境检测、本地文件访问、本地 Python 生信环境检测和本地分析任务执行。原始单细胞数据默认保存在本地，不上传至云端服务器，从而兼顾数据安全与计算性能。</w:t>
      </w:r>
    </w:p>
    <w:p>
      <w:pPr>
        <w:spacing w:before="240" w:after="160"/>
      </w:pPr>
      <w:r>
        <w:rPr>
          <w:rFonts w:ascii="Times New Roman" w:hAnsi="Times New Roman" w:eastAsia="黑体"/>
          <w:b/>
          <w:color w:val="2C3E50"/>
          <w:sz w:val="28"/>
        </w:rPr>
        <w:t>1.4 主要功能特性</w:t>
      </w:r>
    </w:p>
    <w:p>
      <w:pPr>
        <w:spacing w:before="160" w:after="80"/>
      </w:pPr>
      <w:r>
        <w:rPr>
          <w:rFonts w:ascii="Times New Roman" w:hAnsi="Times New Roman" w:eastAsia="黑体"/>
          <w:b/>
          <w:color w:val="2C3E50"/>
          <w:sz w:val="25"/>
        </w:rPr>
        <w:t>● 用户登录与账号管理</w:t>
      </w:r>
    </w:p>
    <w:p>
      <w:pPr>
        <w:spacing w:before="0" w:after="120" w:lineRule="exact" w:line="440"/>
        <w:ind w:firstLine="480"/>
      </w:pPr>
      <w:r>
        <w:rPr>
          <w:rFonts w:ascii="Times New Roman" w:hAnsi="Times New Roman" w:eastAsia="宋体"/>
          <w:b w:val="0"/>
          <w:color w:val="222222"/>
          <w:sz w:val="24"/>
        </w:rPr>
        <w:t>提供用户注册、登录、退出等基础账号功能，并内置默认管理员账号便于快速上手。</w:t>
      </w:r>
    </w:p>
    <w:p>
      <w:pPr>
        <w:spacing w:before="160" w:after="80"/>
      </w:pPr>
      <w:r>
        <w:rPr>
          <w:rFonts w:ascii="Times New Roman" w:hAnsi="Times New Roman" w:eastAsia="黑体"/>
          <w:b/>
          <w:color w:val="2C3E50"/>
          <w:sz w:val="25"/>
        </w:rPr>
        <w:t>● 本地计算节点配对</w:t>
      </w:r>
    </w:p>
    <w:p>
      <w:pPr>
        <w:spacing w:before="0" w:after="120" w:lineRule="exact" w:line="440"/>
        <w:ind w:firstLine="480"/>
      </w:pPr>
      <w:r>
        <w:rPr>
          <w:rFonts w:ascii="Times New Roman" w:hAnsi="Times New Roman" w:eastAsia="宋体"/>
          <w:b w:val="0"/>
          <w:color w:val="222222"/>
          <w:sz w:val="24"/>
        </w:rPr>
        <w:t>通过一次性配对码安全地将 Web 平台与本地 Agent 关联，实时检测本地 CPU、内存、GPU 及单细胞生信依赖包的状态。</w:t>
      </w:r>
    </w:p>
    <w:p>
      <w:pPr>
        <w:spacing w:before="160" w:after="80"/>
      </w:pPr>
      <w:r>
        <w:rPr>
          <w:rFonts w:ascii="Times New Roman" w:hAnsi="Times New Roman" w:eastAsia="黑体"/>
          <w:b/>
          <w:color w:val="2C3E50"/>
          <w:sz w:val="25"/>
        </w:rPr>
        <w:t>● 数据集注册与管理</w:t>
      </w:r>
    </w:p>
    <w:p>
      <w:pPr>
        <w:spacing w:before="0" w:after="120" w:lineRule="exact" w:line="440"/>
        <w:ind w:firstLine="480"/>
      </w:pPr>
      <w:r>
        <w:rPr>
          <w:rFonts w:ascii="Times New Roman" w:hAnsi="Times New Roman" w:eastAsia="宋体"/>
          <w:b w:val="0"/>
          <w:color w:val="222222"/>
          <w:sz w:val="24"/>
        </w:rPr>
        <w:t>支持本地 .h5ad 文件的轻量级检测、标签分布统计、稀有细胞候选自动筛选与可视化展示。</w:t>
      </w:r>
    </w:p>
    <w:p>
      <w:pPr>
        <w:spacing w:before="160" w:after="80"/>
      </w:pPr>
      <w:r>
        <w:rPr>
          <w:rFonts w:ascii="Times New Roman" w:hAnsi="Times New Roman" w:eastAsia="黑体"/>
          <w:b/>
          <w:color w:val="2C3E50"/>
          <w:sz w:val="25"/>
        </w:rPr>
        <w:t>● 实验配置管理</w:t>
      </w:r>
    </w:p>
    <w:p>
      <w:pPr>
        <w:spacing w:before="0" w:after="120" w:lineRule="exact" w:line="440"/>
        <w:ind w:firstLine="480"/>
      </w:pPr>
      <w:r>
        <w:rPr>
          <w:rFonts w:ascii="Times New Roman" w:hAnsi="Times New Roman" w:eastAsia="宋体"/>
          <w:b w:val="0"/>
          <w:color w:val="222222"/>
          <w:sz w:val="24"/>
        </w:rPr>
        <w:t>支持创建细胞类型注释评估实验与稀有细胞识别评估实验，并提供三种稀有评估模式。</w:t>
      </w:r>
    </w:p>
    <w:p>
      <w:pPr>
        <w:spacing w:before="160" w:after="80"/>
      </w:pPr>
      <w:r>
        <w:rPr>
          <w:rFonts w:ascii="Times New Roman" w:hAnsi="Times New Roman" w:eastAsia="黑体"/>
          <w:b/>
          <w:color w:val="2C3E50"/>
          <w:sz w:val="25"/>
        </w:rPr>
        <w:t>● 方法评估与运行</w:t>
      </w:r>
    </w:p>
    <w:p>
      <w:pPr>
        <w:spacing w:before="0" w:after="120" w:lineRule="exact" w:line="440"/>
        <w:ind w:firstLine="480"/>
      </w:pPr>
      <w:r>
        <w:rPr>
          <w:rFonts w:ascii="Times New Roman" w:hAnsi="Times New Roman" w:eastAsia="宋体"/>
          <w:b w:val="0"/>
          <w:color w:val="222222"/>
          <w:sz w:val="24"/>
        </w:rPr>
        <w:t>支持导入方法预测结果 CSV，在本地节点上自动进行 cell_id 对齐与指标计算。</w:t>
      </w:r>
    </w:p>
    <w:p>
      <w:pPr>
        <w:spacing w:before="160" w:after="80"/>
      </w:pPr>
      <w:r>
        <w:rPr>
          <w:rFonts w:ascii="Times New Roman" w:hAnsi="Times New Roman" w:eastAsia="黑体"/>
          <w:b/>
          <w:color w:val="2C3E50"/>
          <w:sz w:val="25"/>
        </w:rPr>
        <w:t>● 多方法对比分析</w:t>
      </w:r>
    </w:p>
    <w:p>
      <w:pPr>
        <w:spacing w:before="0" w:after="120" w:lineRule="exact" w:line="440"/>
        <w:ind w:firstLine="480"/>
      </w:pPr>
      <w:r>
        <w:rPr>
          <w:rFonts w:ascii="Times New Roman" w:hAnsi="Times New Roman" w:eastAsia="宋体"/>
          <w:b w:val="0"/>
          <w:color w:val="222222"/>
          <w:sz w:val="24"/>
        </w:rPr>
        <w:t>在同一实验下聚合多个方法的评估结果，提供可排序的对比排行榜与交互式图表重绘。</w:t>
      </w:r>
    </w:p>
    <w:p>
      <w:pPr>
        <w:spacing w:before="160" w:after="80"/>
      </w:pPr>
      <w:r>
        <w:rPr>
          <w:rFonts w:ascii="Times New Roman" w:hAnsi="Times New Roman" w:eastAsia="黑体"/>
          <w:b/>
          <w:color w:val="2C3E50"/>
          <w:sz w:val="25"/>
        </w:rPr>
        <w:t>● 报告中心</w:t>
      </w:r>
    </w:p>
    <w:p>
      <w:pPr>
        <w:spacing w:before="0" w:after="120" w:lineRule="exact" w:line="440"/>
        <w:ind w:firstLine="480"/>
      </w:pPr>
      <w:r>
        <w:rPr>
          <w:rFonts w:ascii="Times New Roman" w:hAnsi="Times New Roman" w:eastAsia="宋体"/>
          <w:b w:val="0"/>
          <w:color w:val="222222"/>
          <w:sz w:val="24"/>
        </w:rPr>
        <w:t>自动生成自包含的 HTML 评估报告，支持在线查看与本地下载。</w:t>
      </w:r>
    </w:p>
    <w:p>
      <w:pPr>
        <w:spacing w:before="240" w:after="160"/>
      </w:pPr>
      <w:r>
        <w:rPr>
          <w:rFonts w:ascii="Times New Roman" w:hAnsi="Times New Roman" w:eastAsia="黑体"/>
          <w:b/>
          <w:color w:val="2C3E50"/>
          <w:sz w:val="28"/>
        </w:rPr>
        <w:t>1.5 典型应用场景</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科研人员对同一单细胞数据集运行多种细胞注释方法后，需要统一比较各方法的准确率、宏平均 F1 等指标；</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研究稀有细胞类型（如 ASDC、ILC、ionocyte 等）识别能力时，需要专门评估稀有类的精确率、召回率、AUROC/AUPRC；</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方法开发者希望在标准化的评估框架下，对新方法与已有基线方法进行公平比较；</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教学场景中，需要直观展示不同注释方法在混淆矩阵、ROC/PR 曲线上的差异。</w:t>
      </w:r>
    </w:p>
    <w:p>
      <w:pPr>
        <w:spacing w:before="240" w:after="160"/>
      </w:pPr>
      <w:r>
        <w:rPr>
          <w:rFonts w:ascii="Times New Roman" w:hAnsi="Times New Roman" w:eastAsia="黑体"/>
          <w:b/>
          <w:color w:val="2C3E50"/>
          <w:sz w:val="28"/>
        </w:rPr>
        <w:t>1.6 系统特点</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Web-Agent 协同架构：管理与计算分离，原始数据本地化，兼顾安全与性能；</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统一评估标准：对所有导入方法采用相同的指标计算口径，保证比较的公平性；</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稀有细胞专项评估：提供 single_rare、multi_rare_per_class、pooled_rare_vs_nonrare 三种评估模式；</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可视化丰富：混淆矩阵热图、ROC/PR 曲线、细胞类型分布柱状图等，并支持交互式重绘；</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自包含报告：生成的 HTML 报告内嵌图表，可离线查看与归档。</w:t>
      </w:r>
    </w:p>
    <w:p>
      <w:r>
        <w:br w:type="page"/>
      </w:r>
    </w:p>
    <w:p>
      <w:pPr>
        <w:spacing w:before="120" w:after="280"/>
      </w:pPr>
      <w:r>
        <w:rPr>
          <w:rFonts w:ascii="Times New Roman" w:hAnsi="Times New Roman" w:eastAsia="黑体"/>
          <w:b/>
          <w:color w:val="1F3A5F"/>
          <w:sz w:val="36"/>
        </w:rPr>
        <w:t>第 2 章  系统架构</w:t>
      </w:r>
    </w:p>
    <w:p>
      <w:pPr>
        <w:spacing w:before="240" w:after="160"/>
      </w:pPr>
      <w:r>
        <w:rPr>
          <w:rFonts w:ascii="Times New Roman" w:hAnsi="Times New Roman" w:eastAsia="黑体"/>
          <w:b/>
          <w:color w:val="2C3E50"/>
          <w:sz w:val="28"/>
        </w:rPr>
        <w:t>2.1 总体架构</w:t>
      </w:r>
    </w:p>
    <w:p>
      <w:pPr>
        <w:spacing w:before="0" w:after="120" w:lineRule="exact" w:line="440"/>
        <w:ind w:firstLine="480"/>
      </w:pPr>
      <w:r>
        <w:rPr>
          <w:rFonts w:ascii="Times New Roman" w:hAnsi="Times New Roman" w:eastAsia="宋体"/>
          <w:b w:val="0"/>
          <w:color w:val="222222"/>
          <w:sz w:val="24"/>
        </w:rPr>
        <w:t>scAnnoRare 由三层组件构成：Web 主平台、桌面 Local Agent 客户端、本地 Python 生信计算引擎。三者之间通过 HTTP 接口协同工作，整体架构如下：</w:t>
      </w:r>
    </w:p>
    <w:p>
      <w:pPr>
        <w:spacing w:after="0" w:lineRule="exact" w:line="360"/>
        <w:ind w:left="480"/>
        <w:shd w:val="clear" w:fill="F2F4F5"/>
      </w:pPr>
      <w:r>
        <w:rPr>
          <w:rFonts w:ascii="Consolas" w:hAnsi="Consolas" w:eastAsia="宋体"/>
          <w:b w:val="0"/>
          <w:color w:val="104010"/>
          <w:sz w:val="20"/>
        </w:rPr>
        <w:t>┌─────────────────────────────────────────────┐</w:t>
      </w:r>
    </w:p>
    <w:p>
      <w:pPr>
        <w:spacing w:after="0" w:lineRule="exact" w:line="360"/>
        <w:ind w:left="480"/>
        <w:shd w:val="clear" w:fill="F2F4F5"/>
      </w:pPr>
      <w:r>
        <w:rPr>
          <w:rFonts w:ascii="Consolas" w:hAnsi="Consolas" w:eastAsia="宋体"/>
          <w:b w:val="0"/>
          <w:color w:val="104010"/>
          <w:sz w:val="20"/>
        </w:rPr>
        <w:t>│              Web 主平台（浏览器）              │</w:t>
      </w:r>
    </w:p>
    <w:p>
      <w:pPr>
        <w:spacing w:after="0" w:lineRule="exact" w:line="360"/>
        <w:ind w:left="480"/>
        <w:shd w:val="clear" w:fill="F2F4F5"/>
      </w:pPr>
      <w:r>
        <w:rPr>
          <w:rFonts w:ascii="Consolas" w:hAnsi="Consolas" w:eastAsia="宋体"/>
          <w:b w:val="0"/>
          <w:color w:val="104010"/>
          <w:sz w:val="20"/>
        </w:rPr>
        <w:t>│   项目管理 / 实验配置 / 方法对比 / 报告展示    │</w:t>
      </w:r>
    </w:p>
    <w:p>
      <w:pPr>
        <w:spacing w:after="0" w:lineRule="exact" w:line="360"/>
        <w:ind w:left="480"/>
        <w:shd w:val="clear" w:fill="F2F4F5"/>
      </w:pPr>
      <w:r>
        <w:rPr>
          <w:rFonts w:ascii="Consolas" w:hAnsi="Consolas" w:eastAsia="宋体"/>
          <w:b w:val="0"/>
          <w:color w:val="104010"/>
          <w:sz w:val="20"/>
        </w:rPr>
        <w:t>└─────────────────────────────────────────────┘</w:t>
      </w:r>
    </w:p>
    <w:p>
      <w:pPr>
        <w:spacing w:after="0" w:lineRule="exact" w:line="360"/>
        <w:ind w:left="480"/>
        <w:shd w:val="clear" w:fill="F2F4F5"/>
      </w:pPr>
      <w:r>
        <w:rPr>
          <w:rFonts w:ascii="Consolas" w:hAnsi="Consolas" w:eastAsia="宋体"/>
          <w:b w:val="0"/>
          <w:color w:val="104010"/>
          <w:sz w:val="20"/>
        </w:rPr>
        <w:t xml:space="preserve">        │  配对 / 任务下发 / 状态查询 / 结果同步</w:t>
      </w:r>
    </w:p>
    <w:p>
      <w:pPr>
        <w:spacing w:after="0" w:lineRule="exact" w:line="360"/>
        <w:ind w:left="480"/>
        <w:shd w:val="clear" w:fill="F2F4F5"/>
      </w:pPr>
      <w:r>
        <w:rPr>
          <w:rFonts w:ascii="Consolas" w:hAnsi="Consolas" w:eastAsia="宋体"/>
          <w:b w:val="0"/>
          <w:color w:val="104010"/>
          <w:sz w:val="20"/>
        </w:rPr>
        <w:t xml:space="preserve">        ▼</w:t>
      </w:r>
    </w:p>
    <w:p>
      <w:pPr>
        <w:spacing w:after="0" w:lineRule="exact" w:line="360"/>
        <w:ind w:left="480"/>
        <w:shd w:val="clear" w:fill="F2F4F5"/>
      </w:pPr>
      <w:r>
        <w:rPr>
          <w:rFonts w:ascii="Consolas" w:hAnsi="Consolas" w:eastAsia="宋体"/>
          <w:b w:val="0"/>
          <w:color w:val="104010"/>
          <w:sz w:val="20"/>
        </w:rPr>
        <w:t>┌─────────────────────────────────────────────┐</w:t>
      </w:r>
    </w:p>
    <w:p>
      <w:pPr>
        <w:spacing w:after="0" w:lineRule="exact" w:line="360"/>
        <w:ind w:left="480"/>
        <w:shd w:val="clear" w:fill="F2F4F5"/>
      </w:pPr>
      <w:r>
        <w:rPr>
          <w:rFonts w:ascii="Consolas" w:hAnsi="Consolas" w:eastAsia="宋体"/>
          <w:b w:val="0"/>
          <w:color w:val="104010"/>
          <w:sz w:val="20"/>
        </w:rPr>
        <w:t>│            桌面 Local Agent 客户端            │</w:t>
      </w:r>
    </w:p>
    <w:p>
      <w:pPr>
        <w:spacing w:after="0" w:lineRule="exact" w:line="360"/>
        <w:ind w:left="480"/>
        <w:shd w:val="clear" w:fill="F2F4F5"/>
      </w:pPr>
      <w:r>
        <w:rPr>
          <w:rFonts w:ascii="Consolas" w:hAnsi="Consolas" w:eastAsia="宋体"/>
          <w:b w:val="0"/>
          <w:color w:val="104010"/>
          <w:sz w:val="20"/>
        </w:rPr>
        <w:t>│   环境检测 / 文件授权 / 任务执行 / 日志采集    │</w:t>
      </w:r>
    </w:p>
    <w:p>
      <w:pPr>
        <w:spacing w:after="0" w:lineRule="exact" w:line="360"/>
        <w:ind w:left="480"/>
        <w:shd w:val="clear" w:fill="F2F4F5"/>
      </w:pPr>
      <w:r>
        <w:rPr>
          <w:rFonts w:ascii="Consolas" w:hAnsi="Consolas" w:eastAsia="宋体"/>
          <w:b w:val="0"/>
          <w:color w:val="104010"/>
          <w:sz w:val="20"/>
        </w:rPr>
        <w:t>└─────────────────────────────────────────────┘</w:t>
      </w:r>
    </w:p>
    <w:p>
      <w:pPr>
        <w:spacing w:after="0" w:lineRule="exact" w:line="360"/>
        <w:ind w:left="480"/>
        <w:shd w:val="clear" w:fill="F2F4F5"/>
      </w:pPr>
      <w:r>
        <w:rPr>
          <w:rFonts w:ascii="Consolas" w:hAnsi="Consolas" w:eastAsia="宋体"/>
          <w:b w:val="0"/>
          <w:color w:val="104010"/>
          <w:sz w:val="20"/>
        </w:rPr>
        <w:t xml:space="preserve">        │  调用</w:t>
      </w:r>
    </w:p>
    <w:p>
      <w:pPr>
        <w:spacing w:after="0" w:lineRule="exact" w:line="360"/>
        <w:ind w:left="480"/>
        <w:shd w:val="clear" w:fill="F2F4F5"/>
      </w:pPr>
      <w:r>
        <w:rPr>
          <w:rFonts w:ascii="Consolas" w:hAnsi="Consolas" w:eastAsia="宋体"/>
          <w:b w:val="0"/>
          <w:color w:val="104010"/>
          <w:sz w:val="20"/>
        </w:rPr>
        <w:t xml:space="preserve">        ▼</w:t>
      </w:r>
    </w:p>
    <w:p>
      <w:pPr>
        <w:spacing w:after="0" w:lineRule="exact" w:line="360"/>
        <w:ind w:left="480"/>
        <w:shd w:val="clear" w:fill="F2F4F5"/>
      </w:pPr>
      <w:r>
        <w:rPr>
          <w:rFonts w:ascii="Consolas" w:hAnsi="Consolas" w:eastAsia="宋体"/>
          <w:b w:val="0"/>
          <w:color w:val="104010"/>
          <w:sz w:val="20"/>
        </w:rPr>
        <w:t>┌─────────────────────────────────────────────┐</w:t>
      </w:r>
    </w:p>
    <w:p>
      <w:pPr>
        <w:spacing w:after="0" w:lineRule="exact" w:line="360"/>
        <w:ind w:left="480"/>
        <w:shd w:val="clear" w:fill="F2F4F5"/>
      </w:pPr>
      <w:r>
        <w:rPr>
          <w:rFonts w:ascii="Consolas" w:hAnsi="Consolas" w:eastAsia="宋体"/>
          <w:b w:val="0"/>
          <w:color w:val="104010"/>
          <w:sz w:val="20"/>
        </w:rPr>
        <w:t>│          本地 Python 生信计算引擎             │</w:t>
      </w:r>
    </w:p>
    <w:p>
      <w:pPr>
        <w:spacing w:after="0" w:lineRule="exact" w:line="360"/>
        <w:ind w:left="480"/>
        <w:shd w:val="clear" w:fill="F2F4F5"/>
      </w:pPr>
      <w:r>
        <w:rPr>
          <w:rFonts w:ascii="Consolas" w:hAnsi="Consolas" w:eastAsia="宋体"/>
          <w:b w:val="0"/>
          <w:color w:val="104010"/>
          <w:sz w:val="20"/>
        </w:rPr>
        <w:t>│   h5ad 解析 / 指标计算 / 图表与报告生成        │</w:t>
      </w:r>
    </w:p>
    <w:p>
      <w:pPr>
        <w:spacing w:after="0" w:lineRule="exact" w:line="360"/>
        <w:ind w:left="480"/>
        <w:shd w:val="clear" w:fill="F2F4F5"/>
      </w:pPr>
      <w:r>
        <w:rPr>
          <w:rFonts w:ascii="Consolas" w:hAnsi="Consolas" w:eastAsia="宋体"/>
          <w:b w:val="0"/>
          <w:color w:val="104010"/>
          <w:sz w:val="20"/>
        </w:rPr>
        <w:t>└─────────────────────────────────────────────┘</w:t>
      </w:r>
    </w:p>
    <w:p>
      <w:pPr>
        <w:spacing w:after="160"/>
      </w:pPr>
    </w:p>
    <w:p>
      <w:pPr>
        <w:spacing w:before="240" w:after="160"/>
      </w:pPr>
      <w:r>
        <w:rPr>
          <w:rFonts w:ascii="Times New Roman" w:hAnsi="Times New Roman" w:eastAsia="黑体"/>
          <w:b/>
          <w:color w:val="2C3E50"/>
          <w:sz w:val="28"/>
        </w:rPr>
        <w:t>2.2 Web 主平台</w:t>
      </w:r>
    </w:p>
    <w:p>
      <w:pPr>
        <w:spacing w:before="0" w:after="120" w:lineRule="exact" w:line="440"/>
        <w:ind w:firstLine="480"/>
      </w:pPr>
      <w:r>
        <w:rPr>
          <w:rFonts w:ascii="Times New Roman" w:hAnsi="Times New Roman" w:eastAsia="宋体"/>
          <w:b w:val="0"/>
          <w:color w:val="222222"/>
          <w:sz w:val="24"/>
        </w:rPr>
        <w:t>Web 主平台是用户进行日常操作的主要界面，运行于浏览器中。它主要负责用户登录、项目与实验管理、数据集元数据管理、方法运行（method_run）管理、任务状态展示、多方法结果对比以及报告展示。Web 平台本身不直接承担繁重的计算任务，也不存储原始 .h5ad 文件，仅保存数据摘要、实验配置、指标结果和报告元数据。</w:t>
      </w:r>
    </w:p>
    <w:p>
      <w:pPr>
        <w:spacing w:before="240" w:after="160"/>
      </w:pPr>
      <w:r>
        <w:rPr>
          <w:rFonts w:ascii="Times New Roman" w:hAnsi="Times New Roman" w:eastAsia="黑体"/>
          <w:b/>
          <w:color w:val="2C3E50"/>
          <w:sz w:val="28"/>
        </w:rPr>
        <w:t>2.3 桌面 Local Agent</w:t>
      </w:r>
    </w:p>
    <w:p>
      <w:pPr>
        <w:spacing w:before="0" w:after="120" w:lineRule="exact" w:line="440"/>
        <w:ind w:firstLine="480"/>
      </w:pPr>
      <w:r>
        <w:rPr>
          <w:rFonts w:ascii="Times New Roman" w:hAnsi="Times New Roman" w:eastAsia="宋体"/>
          <w:b w:val="0"/>
          <w:color w:val="222222"/>
          <w:sz w:val="24"/>
        </w:rPr>
        <w:t>桌面 Local Agent 是运行在用户本地计算机上的轻量级服务，监听本地回环地址 127.0.0.1 的 17890 端口。它负责本地 CPU/内存/GPU 检测、本地 Python 及生信依赖检测、本地 .h5ad 文件的选择与读取、本地任务执行、任务日志采集、结果 JSON 生成以及本地 HTML 报告生成。Agent 仅监听本地回环地址，配合一次性配对码与会话令牌（session_token）机制保证访问安全。</w:t>
      </w:r>
    </w:p>
    <w:p>
      <w:pPr>
        <w:spacing w:before="240" w:after="160"/>
      </w:pPr>
      <w:r>
        <w:rPr>
          <w:rFonts w:ascii="Times New Roman" w:hAnsi="Times New Roman" w:eastAsia="黑体"/>
          <w:b/>
          <w:color w:val="2C3E50"/>
          <w:sz w:val="28"/>
        </w:rPr>
        <w:t>2.4 本地 Python 生信计算引擎</w:t>
      </w:r>
    </w:p>
    <w:p>
      <w:pPr>
        <w:spacing w:before="0" w:after="120" w:lineRule="exact" w:line="440"/>
        <w:ind w:firstLine="480"/>
      </w:pPr>
      <w:r>
        <w:rPr>
          <w:rFonts w:ascii="Times New Roman" w:hAnsi="Times New Roman" w:eastAsia="宋体"/>
          <w:b w:val="0"/>
          <w:color w:val="222222"/>
          <w:sz w:val="24"/>
        </w:rPr>
        <w:t>本地计算引擎是真正执行单细胞数据解析与指标计算的部分，基于 scanpy、anndata、pandas、scikit-learn、matplotlib 等成熟的科学计算库构建。引擎以独立 Python 脚本（runner）的形式被 Local Agent 调用，分别负责注释评估、稀有细胞识别评估和报告生成。</w:t>
      </w:r>
    </w:p>
    <w:p>
      <w:pPr>
        <w:spacing w:before="240" w:after="160"/>
      </w:pPr>
      <w:r>
        <w:rPr>
          <w:rFonts w:ascii="Times New Roman" w:hAnsi="Times New Roman" w:eastAsia="黑体"/>
          <w:b/>
          <w:color w:val="2C3E50"/>
          <w:sz w:val="28"/>
        </w:rPr>
        <w:t>2.5 组件职责一览</w:t>
      </w:r>
    </w:p>
    <w:tbl>
      <w:tblPr>
        <w:tblStyle w:val="TableGrid"/>
        <w:tblW w:type="auto" w:w="0"/>
        <w:jc w:val="center"/>
        <w:tblLook w:firstColumn="1" w:firstRow="1" w:lastColumn="0" w:lastRow="0" w:noHBand="0" w:noVBand="1" w:val="04A0"/>
      </w:tblPr>
      <w:tblGrid>
        <w:gridCol w:w="4320"/>
        <w:gridCol w:w="4320"/>
      </w:tblGrid>
      <w:tr>
        <w:tc>
          <w:tcPr>
            <w:tcW w:type="dxa" w:w="1984"/>
            <w:shd w:val="clear" w:fill="2C3E50"/>
          </w:tcPr>
          <w:p>
            <w:pPr>
              <w:jc w:val="center"/>
            </w:pPr>
            <w:r/>
            <w:r>
              <w:rPr>
                <w:rFonts w:ascii="Times New Roman" w:hAnsi="Times New Roman" w:eastAsia="黑体"/>
                <w:b/>
                <w:color w:val="FFFFFF"/>
                <w:sz w:val="21"/>
              </w:rPr>
              <w:t>组件</w:t>
            </w:r>
          </w:p>
        </w:tc>
        <w:tc>
          <w:tcPr>
            <w:tcW w:type="dxa" w:w="6803"/>
            <w:shd w:val="clear" w:fill="2C3E50"/>
          </w:tcPr>
          <w:p>
            <w:pPr>
              <w:jc w:val="center"/>
            </w:pPr>
            <w:r/>
            <w:r>
              <w:rPr>
                <w:rFonts w:ascii="Times New Roman" w:hAnsi="Times New Roman" w:eastAsia="黑体"/>
                <w:b/>
                <w:color w:val="FFFFFF"/>
                <w:sz w:val="21"/>
              </w:rPr>
              <w:t>主要职责</w:t>
            </w:r>
          </w:p>
        </w:tc>
      </w:tr>
      <w:tr>
        <w:tc>
          <w:tcPr>
            <w:tcW w:type="dxa" w:w="1984"/>
          </w:tcPr>
          <w:p>
            <w:pPr>
              <w:spacing w:after="40" w:lineRule="exact" w:line="360"/>
            </w:pPr>
            <w:r/>
            <w:r>
              <w:rPr>
                <w:rFonts w:ascii="Times New Roman" w:hAnsi="Times New Roman" w:eastAsia="宋体"/>
                <w:b w:val="0"/>
                <w:color w:val="222222"/>
                <w:sz w:val="20"/>
              </w:rPr>
              <w:t>Web 前端</w:t>
            </w:r>
          </w:p>
        </w:tc>
        <w:tc>
          <w:tcPr>
            <w:tcW w:type="dxa" w:w="6803"/>
          </w:tcPr>
          <w:p>
            <w:pPr>
              <w:spacing w:after="40" w:lineRule="exact" w:line="360"/>
            </w:pPr>
            <w:r/>
            <w:r>
              <w:rPr>
                <w:rFonts w:ascii="Times New Roman" w:hAnsi="Times New Roman" w:eastAsia="宋体"/>
                <w:b w:val="0"/>
                <w:color w:val="222222"/>
                <w:sz w:val="20"/>
              </w:rPr>
              <w:t>用户交互、项目管理、数据概览展示、任务创建、方法对比、报告展示</w:t>
            </w:r>
          </w:p>
        </w:tc>
      </w:tr>
      <w:tr>
        <w:tc>
          <w:tcPr>
            <w:tcW w:type="dxa" w:w="1984"/>
          </w:tcPr>
          <w:p>
            <w:pPr>
              <w:spacing w:after="40" w:lineRule="exact" w:line="360"/>
            </w:pPr>
            <w:r/>
            <w:r>
              <w:rPr>
                <w:rFonts w:ascii="Times New Roman" w:hAnsi="Times New Roman" w:eastAsia="宋体"/>
                <w:b w:val="0"/>
                <w:color w:val="222222"/>
                <w:sz w:val="20"/>
              </w:rPr>
              <w:t>Web 后端</w:t>
            </w:r>
          </w:p>
        </w:tc>
        <w:tc>
          <w:tcPr>
            <w:tcW w:type="dxa" w:w="6803"/>
          </w:tcPr>
          <w:p>
            <w:pPr>
              <w:spacing w:after="40" w:lineRule="exact" w:line="360"/>
            </w:pPr>
            <w:r/>
            <w:r>
              <w:rPr>
                <w:rFonts w:ascii="Times New Roman" w:hAnsi="Times New Roman" w:eastAsia="宋体"/>
                <w:b w:val="0"/>
                <w:color w:val="222222"/>
                <w:sz w:val="20"/>
              </w:rPr>
              <w:t>用户、项目、数据集摘要、实验、method_run、结果、报告元数据管理</w:t>
            </w:r>
          </w:p>
        </w:tc>
      </w:tr>
      <w:tr>
        <w:tc>
          <w:tcPr>
            <w:tcW w:type="dxa" w:w="1984"/>
          </w:tcPr>
          <w:p>
            <w:pPr>
              <w:spacing w:after="40" w:lineRule="exact" w:line="360"/>
            </w:pPr>
            <w:r/>
            <w:r>
              <w:rPr>
                <w:rFonts w:ascii="Times New Roman" w:hAnsi="Times New Roman" w:eastAsia="宋体"/>
                <w:b w:val="0"/>
                <w:color w:val="222222"/>
                <w:sz w:val="20"/>
              </w:rPr>
              <w:t>桌面客户端</w:t>
            </w:r>
          </w:p>
        </w:tc>
        <w:tc>
          <w:tcPr>
            <w:tcW w:type="dxa" w:w="6803"/>
          </w:tcPr>
          <w:p>
            <w:pPr>
              <w:spacing w:after="40" w:lineRule="exact" w:line="360"/>
            </w:pPr>
            <w:r/>
            <w:r>
              <w:rPr>
                <w:rFonts w:ascii="Times New Roman" w:hAnsi="Times New Roman" w:eastAsia="宋体"/>
                <w:b w:val="0"/>
                <w:color w:val="222222"/>
                <w:sz w:val="20"/>
              </w:rPr>
              <w:t>启动 Local Agent、显示配对码、维护本地连接状态、展示运行状态</w:t>
            </w:r>
          </w:p>
        </w:tc>
      </w:tr>
      <w:tr>
        <w:tc>
          <w:tcPr>
            <w:tcW w:type="dxa" w:w="1984"/>
          </w:tcPr>
          <w:p>
            <w:pPr>
              <w:spacing w:after="40" w:lineRule="exact" w:line="360"/>
            </w:pPr>
            <w:r/>
            <w:r>
              <w:rPr>
                <w:rFonts w:ascii="Times New Roman" w:hAnsi="Times New Roman" w:eastAsia="宋体"/>
                <w:b w:val="0"/>
                <w:color w:val="222222"/>
                <w:sz w:val="20"/>
              </w:rPr>
              <w:t>Local Agent</w:t>
            </w:r>
          </w:p>
        </w:tc>
        <w:tc>
          <w:tcPr>
            <w:tcW w:type="dxa" w:w="6803"/>
          </w:tcPr>
          <w:p>
            <w:pPr>
              <w:spacing w:after="40" w:lineRule="exact" w:line="360"/>
            </w:pPr>
            <w:r/>
            <w:r>
              <w:rPr>
                <w:rFonts w:ascii="Times New Roman" w:hAnsi="Times New Roman" w:eastAsia="宋体"/>
                <w:b w:val="0"/>
                <w:color w:val="222222"/>
                <w:sz w:val="20"/>
              </w:rPr>
              <w:t>本地 API 服务，负责环境检测、文件访问、任务执行、日志与结果管理</w:t>
            </w:r>
          </w:p>
        </w:tc>
      </w:tr>
      <w:tr>
        <w:tc>
          <w:tcPr>
            <w:tcW w:type="dxa" w:w="1984"/>
          </w:tcPr>
          <w:p>
            <w:pPr>
              <w:spacing w:after="40" w:lineRule="exact" w:line="360"/>
            </w:pPr>
            <w:r/>
            <w:r>
              <w:rPr>
                <w:rFonts w:ascii="Times New Roman" w:hAnsi="Times New Roman" w:eastAsia="宋体"/>
                <w:b w:val="0"/>
                <w:color w:val="222222"/>
                <w:sz w:val="20"/>
              </w:rPr>
              <w:t>本地计算引擎</w:t>
            </w:r>
          </w:p>
        </w:tc>
        <w:tc>
          <w:tcPr>
            <w:tcW w:type="dxa" w:w="6803"/>
          </w:tcPr>
          <w:p>
            <w:pPr>
              <w:spacing w:after="40" w:lineRule="exact" w:line="360"/>
            </w:pPr>
            <w:r/>
            <w:r>
              <w:rPr>
                <w:rFonts w:ascii="Times New Roman" w:hAnsi="Times New Roman" w:eastAsia="宋体"/>
                <w:b w:val="0"/>
                <w:color w:val="222222"/>
                <w:sz w:val="20"/>
              </w:rPr>
              <w:t>实际运行 h5ad 解析、指标计算、图表生成和 HTML 报告生成</w:t>
            </w:r>
          </w:p>
        </w:tc>
      </w:tr>
      <w:tr>
        <w:tc>
          <w:tcPr>
            <w:tcW w:type="dxa" w:w="1984"/>
          </w:tcPr>
          <w:p>
            <w:pPr>
              <w:spacing w:after="40" w:lineRule="exact" w:line="360"/>
            </w:pPr>
            <w:r/>
            <w:r>
              <w:rPr>
                <w:rFonts w:ascii="Times New Roman" w:hAnsi="Times New Roman" w:eastAsia="宋体"/>
                <w:b w:val="0"/>
                <w:color w:val="222222"/>
                <w:sz w:val="20"/>
              </w:rPr>
              <w:t>数据库</w:t>
            </w:r>
          </w:p>
        </w:tc>
        <w:tc>
          <w:tcPr>
            <w:tcW w:type="dxa" w:w="6803"/>
          </w:tcPr>
          <w:p>
            <w:pPr>
              <w:spacing w:after="40" w:lineRule="exact" w:line="360"/>
            </w:pPr>
            <w:r/>
            <w:r>
              <w:rPr>
                <w:rFonts w:ascii="Times New Roman" w:hAnsi="Times New Roman" w:eastAsia="宋体"/>
                <w:b w:val="0"/>
                <w:color w:val="222222"/>
                <w:sz w:val="20"/>
              </w:rPr>
              <w:t>保存用户、项目、实验、任务、结果、报告等元数据（MySQL）</w:t>
            </w:r>
          </w:p>
        </w:tc>
      </w:tr>
    </w:tbl>
    <w:p>
      <w:pPr>
        <w:spacing w:after="160"/>
      </w:pPr>
    </w:p>
    <w:p>
      <w:pPr>
        <w:spacing w:before="240" w:after="160"/>
      </w:pPr>
      <w:r>
        <w:rPr>
          <w:rFonts w:ascii="Times New Roman" w:hAnsi="Times New Roman" w:eastAsia="黑体"/>
          <w:b/>
          <w:color w:val="2C3E50"/>
          <w:sz w:val="28"/>
        </w:rPr>
        <w:t>2.6 数据流与任务流</w:t>
      </w:r>
    </w:p>
    <w:p>
      <w:pPr>
        <w:spacing w:before="0" w:after="120" w:lineRule="exact" w:line="440"/>
        <w:ind w:firstLine="480"/>
      </w:pPr>
      <w:r>
        <w:rPr>
          <w:rFonts w:ascii="Times New Roman" w:hAnsi="Times New Roman" w:eastAsia="宋体"/>
          <w:b w:val="0"/>
          <w:color w:val="222222"/>
          <w:sz w:val="24"/>
        </w:rPr>
        <w:t>一次完整的评估任务，其数据与任务流转过程如下：</w:t>
      </w:r>
    </w:p>
    <w:p>
      <w:pPr>
        <w:spacing w:after="80" w:lineRule="exact" w:line="440"/>
        <w:ind w:left="480"/>
      </w:pPr>
      <w:r>
        <w:rPr>
          <w:rFonts w:ascii="Times New Roman" w:hAnsi="Times New Roman" w:eastAsia="黑体"/>
          <w:b/>
          <w:color w:val="1F3A5F"/>
          <w:sz w:val="24"/>
        </w:rPr>
        <w:t xml:space="preserve">步骤 1　</w:t>
      </w:r>
      <w:r>
        <w:rPr>
          <w:rFonts w:ascii="Times New Roman" w:hAnsi="Times New Roman" w:eastAsia="宋体"/>
          <w:b w:val="0"/>
          <w:color w:val="222222"/>
          <w:sz w:val="24"/>
        </w:rPr>
        <w:t>用户在 Web 平台创建实验，并添加一个方法运行（method_run），上传预测结果 CSV 路径；</w:t>
      </w:r>
    </w:p>
    <w:p>
      <w:pPr>
        <w:spacing w:after="80" w:lineRule="exact" w:line="440"/>
        <w:ind w:left="480"/>
      </w:pPr>
      <w:r>
        <w:rPr>
          <w:rFonts w:ascii="Times New Roman" w:hAnsi="Times New Roman" w:eastAsia="黑体"/>
          <w:b/>
          <w:color w:val="1F3A5F"/>
          <w:sz w:val="24"/>
        </w:rPr>
        <w:t xml:space="preserve">步骤 2　</w:t>
      </w:r>
      <w:r>
        <w:rPr>
          <w:rFonts w:ascii="Times New Roman" w:hAnsi="Times New Roman" w:eastAsia="宋体"/>
          <w:b w:val="0"/>
          <w:color w:val="222222"/>
          <w:sz w:val="24"/>
        </w:rPr>
        <w:t>Web 后端将任务下发给 Local Agent，携带数据集本地路径、预测 CSV 路径、标签列等参数；</w:t>
      </w:r>
    </w:p>
    <w:p>
      <w:pPr>
        <w:spacing w:after="80" w:lineRule="exact" w:line="440"/>
        <w:ind w:left="480"/>
      </w:pPr>
      <w:r>
        <w:rPr>
          <w:rFonts w:ascii="Times New Roman" w:hAnsi="Times New Roman" w:eastAsia="黑体"/>
          <w:b/>
          <w:color w:val="1F3A5F"/>
          <w:sz w:val="24"/>
        </w:rPr>
        <w:t xml:space="preserve">步骤 3　</w:t>
      </w:r>
      <w:r>
        <w:rPr>
          <w:rFonts w:ascii="Times New Roman" w:hAnsi="Times New Roman" w:eastAsia="宋体"/>
          <w:b w:val="0"/>
          <w:color w:val="222222"/>
          <w:sz w:val="24"/>
        </w:rPr>
        <w:t>Local Agent 创建本地任务，调用计算引擎执行 cell_id 对齐与指标计算；</w:t>
      </w:r>
    </w:p>
    <w:p>
      <w:pPr>
        <w:spacing w:after="80" w:lineRule="exact" w:line="440"/>
        <w:ind w:left="480"/>
      </w:pPr>
      <w:r>
        <w:rPr>
          <w:rFonts w:ascii="Times New Roman" w:hAnsi="Times New Roman" w:eastAsia="黑体"/>
          <w:b/>
          <w:color w:val="1F3A5F"/>
          <w:sz w:val="24"/>
        </w:rPr>
        <w:t xml:space="preserve">步骤 4　</w:t>
      </w:r>
      <w:r>
        <w:rPr>
          <w:rFonts w:ascii="Times New Roman" w:hAnsi="Times New Roman" w:eastAsia="宋体"/>
          <w:b w:val="0"/>
          <w:color w:val="222222"/>
          <w:sz w:val="24"/>
        </w:rPr>
        <w:t>计算引擎生成 result.json 结构化结果与 report.html 报告；</w:t>
      </w:r>
    </w:p>
    <w:p>
      <w:pPr>
        <w:spacing w:after="80" w:lineRule="exact" w:line="440"/>
        <w:ind w:left="480"/>
      </w:pPr>
      <w:r>
        <w:rPr>
          <w:rFonts w:ascii="Times New Roman" w:hAnsi="Times New Roman" w:eastAsia="黑体"/>
          <w:b/>
          <w:color w:val="1F3A5F"/>
          <w:sz w:val="24"/>
        </w:rPr>
        <w:t xml:space="preserve">步骤 5　</w:t>
      </w:r>
      <w:r>
        <w:rPr>
          <w:rFonts w:ascii="Times New Roman" w:hAnsi="Times New Roman" w:eastAsia="宋体"/>
          <w:b w:val="0"/>
          <w:color w:val="222222"/>
          <w:sz w:val="24"/>
        </w:rPr>
        <w:t>Web 后端通过同步接口拉取结果，写入数据库并生成报告记录；</w:t>
      </w:r>
    </w:p>
    <w:p>
      <w:pPr>
        <w:spacing w:after="80" w:lineRule="exact" w:line="440"/>
        <w:ind w:left="480"/>
      </w:pPr>
      <w:r>
        <w:rPr>
          <w:rFonts w:ascii="Times New Roman" w:hAnsi="Times New Roman" w:eastAsia="黑体"/>
          <w:b/>
          <w:color w:val="1F3A5F"/>
          <w:sz w:val="24"/>
        </w:rPr>
        <w:t xml:space="preserve">步骤 6　</w:t>
      </w:r>
      <w:r>
        <w:rPr>
          <w:rFonts w:ascii="Times New Roman" w:hAnsi="Times New Roman" w:eastAsia="宋体"/>
          <w:b w:val="0"/>
          <w:color w:val="222222"/>
          <w:sz w:val="24"/>
        </w:rPr>
        <w:t>Web 前端轮询任务状态，任务完成后自动刷新对比排行榜并渲染可视化图表。</w:t>
      </w:r>
    </w:p>
    <w:p>
      <w:r>
        <w:br w:type="page"/>
      </w:r>
    </w:p>
    <w:p>
      <w:pPr>
        <w:spacing w:before="120" w:after="280"/>
      </w:pPr>
      <w:r>
        <w:rPr>
          <w:rFonts w:ascii="Times New Roman" w:hAnsi="Times New Roman" w:eastAsia="黑体"/>
          <w:b/>
          <w:color w:val="1F3A5F"/>
          <w:sz w:val="36"/>
        </w:rPr>
        <w:t>第 3 章  运行环境与部署</w:t>
      </w:r>
    </w:p>
    <w:p>
      <w:pPr>
        <w:spacing w:before="240" w:after="160"/>
      </w:pPr>
      <w:r>
        <w:rPr>
          <w:rFonts w:ascii="Times New Roman" w:hAnsi="Times New Roman" w:eastAsia="黑体"/>
          <w:b/>
          <w:color w:val="2C3E50"/>
          <w:sz w:val="28"/>
        </w:rPr>
        <w:t>3.1 硬件环境要求</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fill="2C3E50"/>
          </w:tcPr>
          <w:p>
            <w:pPr>
              <w:jc w:val="center"/>
            </w:pPr>
            <w:r/>
            <w:r>
              <w:rPr>
                <w:rFonts w:ascii="Times New Roman" w:hAnsi="Times New Roman" w:eastAsia="黑体"/>
                <w:b/>
                <w:color w:val="FFFFFF"/>
                <w:sz w:val="21"/>
              </w:rPr>
              <w:t>项目</w:t>
            </w:r>
          </w:p>
        </w:tc>
        <w:tc>
          <w:tcPr>
            <w:tcW w:type="dxa" w:w="3402"/>
            <w:shd w:val="clear" w:fill="2C3E50"/>
          </w:tcPr>
          <w:p>
            <w:pPr>
              <w:jc w:val="center"/>
            </w:pPr>
            <w:r/>
            <w:r>
              <w:rPr>
                <w:rFonts w:ascii="Times New Roman" w:hAnsi="Times New Roman" w:eastAsia="黑体"/>
                <w:b/>
                <w:color w:val="FFFFFF"/>
                <w:sz w:val="21"/>
              </w:rPr>
              <w:t>最低配置</w:t>
            </w:r>
          </w:p>
        </w:tc>
        <w:tc>
          <w:tcPr>
            <w:tcW w:type="dxa" w:w="3685"/>
            <w:shd w:val="clear" w:fill="2C3E50"/>
          </w:tcPr>
          <w:p>
            <w:pPr>
              <w:jc w:val="center"/>
            </w:pPr>
            <w:r/>
            <w:r>
              <w:rPr>
                <w:rFonts w:ascii="Times New Roman" w:hAnsi="Times New Roman" w:eastAsia="黑体"/>
                <w:b/>
                <w:color w:val="FFFFFF"/>
                <w:sz w:val="21"/>
              </w:rPr>
              <w:t>推荐配置</w:t>
            </w:r>
          </w:p>
        </w:tc>
      </w:tr>
      <w:tr>
        <w:tc>
          <w:tcPr>
            <w:tcW w:type="dxa" w:w="1701"/>
          </w:tcPr>
          <w:p>
            <w:pPr>
              <w:spacing w:after="40" w:lineRule="exact" w:line="360"/>
            </w:pPr>
            <w:r/>
            <w:r>
              <w:rPr>
                <w:rFonts w:ascii="Times New Roman" w:hAnsi="Times New Roman" w:eastAsia="宋体"/>
                <w:b w:val="0"/>
                <w:color w:val="222222"/>
                <w:sz w:val="20"/>
              </w:rPr>
              <w:t>CPU</w:t>
            </w:r>
          </w:p>
        </w:tc>
        <w:tc>
          <w:tcPr>
            <w:tcW w:type="dxa" w:w="3402"/>
          </w:tcPr>
          <w:p>
            <w:pPr>
              <w:spacing w:after="40" w:lineRule="exact" w:line="360"/>
            </w:pPr>
            <w:r/>
            <w:r>
              <w:rPr>
                <w:rFonts w:ascii="Times New Roman" w:hAnsi="Times New Roman" w:eastAsia="宋体"/>
                <w:b w:val="0"/>
                <w:color w:val="222222"/>
                <w:sz w:val="20"/>
              </w:rPr>
              <w:t>双核</w:t>
            </w:r>
          </w:p>
        </w:tc>
        <w:tc>
          <w:tcPr>
            <w:tcW w:type="dxa" w:w="3685"/>
          </w:tcPr>
          <w:p>
            <w:pPr>
              <w:spacing w:after="40" w:lineRule="exact" w:line="360"/>
            </w:pPr>
            <w:r/>
            <w:r>
              <w:rPr>
                <w:rFonts w:ascii="Times New Roman" w:hAnsi="Times New Roman" w:eastAsia="宋体"/>
                <w:b w:val="0"/>
                <w:color w:val="222222"/>
                <w:sz w:val="20"/>
              </w:rPr>
              <w:t>四核及以上</w:t>
            </w:r>
          </w:p>
        </w:tc>
      </w:tr>
      <w:tr>
        <w:tc>
          <w:tcPr>
            <w:tcW w:type="dxa" w:w="1701"/>
          </w:tcPr>
          <w:p>
            <w:pPr>
              <w:spacing w:after="40" w:lineRule="exact" w:line="360"/>
            </w:pPr>
            <w:r/>
            <w:r>
              <w:rPr>
                <w:rFonts w:ascii="Times New Roman" w:hAnsi="Times New Roman" w:eastAsia="宋体"/>
                <w:b w:val="0"/>
                <w:color w:val="222222"/>
                <w:sz w:val="20"/>
              </w:rPr>
              <w:t>内存</w:t>
            </w:r>
          </w:p>
        </w:tc>
        <w:tc>
          <w:tcPr>
            <w:tcW w:type="dxa" w:w="3402"/>
          </w:tcPr>
          <w:p>
            <w:pPr>
              <w:spacing w:after="40" w:lineRule="exact" w:line="360"/>
            </w:pPr>
            <w:r/>
            <w:r>
              <w:rPr>
                <w:rFonts w:ascii="Times New Roman" w:hAnsi="Times New Roman" w:eastAsia="宋体"/>
                <w:b w:val="0"/>
                <w:color w:val="222222"/>
                <w:sz w:val="20"/>
              </w:rPr>
              <w:t>8 GB</w:t>
            </w:r>
          </w:p>
        </w:tc>
        <w:tc>
          <w:tcPr>
            <w:tcW w:type="dxa" w:w="3685"/>
          </w:tcPr>
          <w:p>
            <w:pPr>
              <w:spacing w:after="40" w:lineRule="exact" w:line="360"/>
            </w:pPr>
            <w:r/>
            <w:r>
              <w:rPr>
                <w:rFonts w:ascii="Times New Roman" w:hAnsi="Times New Roman" w:eastAsia="宋体"/>
                <w:b w:val="0"/>
                <w:color w:val="222222"/>
                <w:sz w:val="20"/>
              </w:rPr>
              <w:t>16 GB 及以上</w:t>
            </w:r>
          </w:p>
        </w:tc>
      </w:tr>
      <w:tr>
        <w:tc>
          <w:tcPr>
            <w:tcW w:type="dxa" w:w="1701"/>
          </w:tcPr>
          <w:p>
            <w:pPr>
              <w:spacing w:after="40" w:lineRule="exact" w:line="360"/>
            </w:pPr>
            <w:r/>
            <w:r>
              <w:rPr>
                <w:rFonts w:ascii="Times New Roman" w:hAnsi="Times New Roman" w:eastAsia="宋体"/>
                <w:b w:val="0"/>
                <w:color w:val="222222"/>
                <w:sz w:val="20"/>
              </w:rPr>
              <w:t>硬盘</w:t>
            </w:r>
          </w:p>
        </w:tc>
        <w:tc>
          <w:tcPr>
            <w:tcW w:type="dxa" w:w="3402"/>
          </w:tcPr>
          <w:p>
            <w:pPr>
              <w:spacing w:after="40" w:lineRule="exact" w:line="360"/>
            </w:pPr>
            <w:r/>
            <w:r>
              <w:rPr>
                <w:rFonts w:ascii="Times New Roman" w:hAnsi="Times New Roman" w:eastAsia="宋体"/>
                <w:b w:val="0"/>
                <w:color w:val="222222"/>
                <w:sz w:val="20"/>
              </w:rPr>
              <w:t>10 GB 可用空间</w:t>
            </w:r>
          </w:p>
        </w:tc>
        <w:tc>
          <w:tcPr>
            <w:tcW w:type="dxa" w:w="3685"/>
          </w:tcPr>
          <w:p>
            <w:pPr>
              <w:spacing w:after="40" w:lineRule="exact" w:line="360"/>
            </w:pPr>
            <w:r/>
            <w:r>
              <w:rPr>
                <w:rFonts w:ascii="Times New Roman" w:hAnsi="Times New Roman" w:eastAsia="宋体"/>
                <w:b w:val="0"/>
                <w:color w:val="222222"/>
                <w:sz w:val="20"/>
              </w:rPr>
              <w:t>50 GB 及以上</w:t>
            </w:r>
          </w:p>
        </w:tc>
      </w:tr>
      <w:tr>
        <w:tc>
          <w:tcPr>
            <w:tcW w:type="dxa" w:w="1701"/>
          </w:tcPr>
          <w:p>
            <w:pPr>
              <w:spacing w:after="40" w:lineRule="exact" w:line="360"/>
            </w:pPr>
            <w:r/>
            <w:r>
              <w:rPr>
                <w:rFonts w:ascii="Times New Roman" w:hAnsi="Times New Roman" w:eastAsia="宋体"/>
                <w:b w:val="0"/>
                <w:color w:val="222222"/>
                <w:sz w:val="20"/>
              </w:rPr>
              <w:t>GPU</w:t>
            </w:r>
          </w:p>
        </w:tc>
        <w:tc>
          <w:tcPr>
            <w:tcW w:type="dxa" w:w="3402"/>
          </w:tcPr>
          <w:p>
            <w:pPr>
              <w:spacing w:after="40" w:lineRule="exact" w:line="360"/>
            </w:pPr>
            <w:r/>
            <w:r>
              <w:rPr>
                <w:rFonts w:ascii="Times New Roman" w:hAnsi="Times New Roman" w:eastAsia="宋体"/>
                <w:b w:val="0"/>
                <w:color w:val="222222"/>
                <w:sz w:val="20"/>
              </w:rPr>
              <w:t>非必需</w:t>
            </w:r>
          </w:p>
        </w:tc>
        <w:tc>
          <w:tcPr>
            <w:tcW w:type="dxa" w:w="3685"/>
          </w:tcPr>
          <w:p>
            <w:pPr>
              <w:spacing w:after="40" w:lineRule="exact" w:line="360"/>
            </w:pPr>
            <w:r/>
            <w:r>
              <w:rPr>
                <w:rFonts w:ascii="Times New Roman" w:hAnsi="Times New Roman" w:eastAsia="宋体"/>
                <w:b w:val="0"/>
                <w:color w:val="222222"/>
                <w:sz w:val="20"/>
              </w:rPr>
              <w:t>NVIDIA GPU（用于后续内置算法加速）</w:t>
            </w:r>
          </w:p>
        </w:tc>
      </w:tr>
    </w:tbl>
    <w:p>
      <w:pPr>
        <w:spacing w:after="160"/>
      </w:pPr>
    </w:p>
    <w:p>
      <w:pPr>
        <w:spacing w:before="240" w:after="160"/>
      </w:pPr>
      <w:r>
        <w:rPr>
          <w:rFonts w:ascii="Times New Roman" w:hAnsi="Times New Roman" w:eastAsia="黑体"/>
          <w:b/>
          <w:color w:val="2C3E50"/>
          <w:sz w:val="28"/>
        </w:rPr>
        <w:t>3.2 软件环境要求</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操作系统：Windows 10/11、macOS 或主流 Linux 发行版；</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Python：3.10 或 3.11（建议）；本手册环境为 Python 3.x；</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数据库：MySQL 8.0 及以上；</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浏览器：Chrome、Edge、Firefox、Safari 等现代浏览器；</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Python 依赖：fastapi、uvicorn、sqlalchemy、pymysql、scanpy、anndata、pandas、scikit-learn、matplotlib、seaborn、jinja2 等。</w:t>
      </w:r>
    </w:p>
    <w:p>
      <w:pPr>
        <w:spacing w:before="240" w:after="160"/>
      </w:pPr>
      <w:r>
        <w:rPr>
          <w:rFonts w:ascii="Times New Roman" w:hAnsi="Times New Roman" w:eastAsia="黑体"/>
          <w:b/>
          <w:color w:val="2C3E50"/>
          <w:sz w:val="28"/>
        </w:rPr>
        <w:t>3.3 数据库配置</w:t>
      </w:r>
    </w:p>
    <w:p>
      <w:pPr>
        <w:spacing w:before="0" w:after="120" w:lineRule="exact" w:line="440"/>
        <w:ind w:firstLine="480"/>
      </w:pPr>
      <w:r>
        <w:rPr>
          <w:rFonts w:ascii="Times New Roman" w:hAnsi="Times New Roman" w:eastAsia="宋体"/>
          <w:b w:val="0"/>
          <w:color w:val="222222"/>
          <w:sz w:val="24"/>
        </w:rPr>
        <w:t>系统使用 MySQL 存储用户、项目、数据集摘要、实验、任务、结果与报告等元数据。Web 后端通过环境变量或默认配置连接数据库，首次启动时会自动创建所需的数据表。数据库连接参数包括主机地址、端口、用户名、密码和数据库名，可在后端配置文件 db.py 中查看或通过环境变量覆盖：</w:t>
      </w:r>
    </w:p>
    <w:p>
      <w:pPr>
        <w:spacing w:after="0" w:lineRule="exact" w:line="360"/>
        <w:ind w:left="480"/>
        <w:shd w:val="clear" w:fill="F2F4F5"/>
      </w:pPr>
      <w:r>
        <w:rPr>
          <w:rFonts w:ascii="Consolas" w:hAnsi="Consolas" w:eastAsia="宋体"/>
          <w:b w:val="0"/>
          <w:color w:val="104010"/>
          <w:sz w:val="20"/>
        </w:rPr>
        <w:t>MYSQL_HOST = 数据库主机地址</w:t>
      </w:r>
    </w:p>
    <w:p>
      <w:pPr>
        <w:spacing w:after="0" w:lineRule="exact" w:line="360"/>
        <w:ind w:left="480"/>
        <w:shd w:val="clear" w:fill="F2F4F5"/>
      </w:pPr>
      <w:r>
        <w:rPr>
          <w:rFonts w:ascii="Consolas" w:hAnsi="Consolas" w:eastAsia="宋体"/>
          <w:b w:val="0"/>
          <w:color w:val="104010"/>
          <w:sz w:val="20"/>
        </w:rPr>
        <w:t>MYSQL_PORT = 3306</w:t>
      </w:r>
    </w:p>
    <w:p>
      <w:pPr>
        <w:spacing w:after="0" w:lineRule="exact" w:line="360"/>
        <w:ind w:left="480"/>
        <w:shd w:val="clear" w:fill="F2F4F5"/>
      </w:pPr>
      <w:r>
        <w:rPr>
          <w:rFonts w:ascii="Consolas" w:hAnsi="Consolas" w:eastAsia="宋体"/>
          <w:b w:val="0"/>
          <w:color w:val="104010"/>
          <w:sz w:val="20"/>
        </w:rPr>
        <w:t>MYSQL_USER = 数据库用户名</w:t>
      </w:r>
    </w:p>
    <w:p>
      <w:pPr>
        <w:spacing w:after="0" w:lineRule="exact" w:line="360"/>
        <w:ind w:left="480"/>
        <w:shd w:val="clear" w:fill="F2F4F5"/>
      </w:pPr>
      <w:r>
        <w:rPr>
          <w:rFonts w:ascii="Consolas" w:hAnsi="Consolas" w:eastAsia="宋体"/>
          <w:b w:val="0"/>
          <w:color w:val="104010"/>
          <w:sz w:val="20"/>
        </w:rPr>
        <w:t>MYSQL_PASSWORD = 数据库密码</w:t>
      </w:r>
    </w:p>
    <w:p>
      <w:pPr>
        <w:spacing w:after="0" w:lineRule="exact" w:line="360"/>
        <w:ind w:left="480"/>
        <w:shd w:val="clear" w:fill="F2F4F5"/>
      </w:pPr>
      <w:r>
        <w:rPr>
          <w:rFonts w:ascii="Consolas" w:hAnsi="Consolas" w:eastAsia="宋体"/>
          <w:b w:val="0"/>
          <w:color w:val="104010"/>
          <w:sz w:val="20"/>
        </w:rPr>
        <w:t>MYSQL_DB = scannorare</w:t>
      </w:r>
    </w:p>
    <w:p>
      <w:pPr>
        <w:spacing w:after="160"/>
      </w:pPr>
    </w:p>
    <w:p>
      <w:pPr>
        <w:spacing w:before="80" w:after="160" w:lineRule="exact" w:line="400"/>
        <w:ind w:left="360"/>
      </w:pPr>
      <w:r>
        <w:rPr>
          <w:rFonts w:ascii="Times New Roman" w:hAnsi="Times New Roman" w:eastAsia="黑体"/>
          <w:b/>
          <w:color w:val="B06000"/>
          <w:sz w:val="22"/>
        </w:rPr>
        <w:t>【提示】</w:t>
      </w:r>
      <w:r>
        <w:rPr>
          <w:rFonts w:ascii="Times New Roman" w:hAnsi="Times New Roman" w:eastAsia="宋体"/>
          <w:b w:val="0"/>
          <w:color w:val="666666"/>
          <w:sz w:val="22"/>
        </w:rPr>
        <w:t>首次启动后端时会自动执行建表操作，并创建默认管理员账号 admin。</w:t>
      </w:r>
    </w:p>
    <w:p>
      <w:pPr>
        <w:spacing w:before="240" w:after="160"/>
      </w:pPr>
      <w:r>
        <w:rPr>
          <w:rFonts w:ascii="Times New Roman" w:hAnsi="Times New Roman" w:eastAsia="黑体"/>
          <w:b/>
          <w:color w:val="2C3E50"/>
          <w:sz w:val="28"/>
        </w:rPr>
        <w:t>3.4 Web 后端启动</w:t>
      </w:r>
    </w:p>
    <w:p>
      <w:pPr>
        <w:spacing w:before="0" w:after="120" w:lineRule="exact" w:line="440"/>
        <w:ind w:firstLine="480"/>
      </w:pPr>
      <w:r>
        <w:rPr>
          <w:rFonts w:ascii="Times New Roman" w:hAnsi="Times New Roman" w:eastAsia="宋体"/>
          <w:b w:val="0"/>
          <w:color w:val="222222"/>
          <w:sz w:val="24"/>
        </w:rPr>
        <w:t>进入 web-backend 目录，执行以下命令启动 Web 后端服务，默认监听 127.0.0.1:8000：</w:t>
      </w:r>
    </w:p>
    <w:p>
      <w:pPr>
        <w:spacing w:after="0" w:lineRule="exact" w:line="360"/>
        <w:ind w:left="480"/>
        <w:shd w:val="clear" w:fill="F2F4F5"/>
      </w:pPr>
      <w:r>
        <w:rPr>
          <w:rFonts w:ascii="Consolas" w:hAnsi="Consolas" w:eastAsia="宋体"/>
          <w:b w:val="0"/>
          <w:color w:val="104010"/>
          <w:sz w:val="20"/>
        </w:rPr>
        <w:t>cd web-backend</w:t>
      </w:r>
    </w:p>
    <w:p>
      <w:pPr>
        <w:spacing w:after="0" w:lineRule="exact" w:line="360"/>
        <w:ind w:left="480"/>
        <w:shd w:val="clear" w:fill="F2F4F5"/>
      </w:pPr>
      <w:r>
        <w:rPr>
          <w:rFonts w:ascii="Consolas" w:hAnsi="Consolas" w:eastAsia="宋体"/>
          <w:b w:val="0"/>
          <w:color w:val="104010"/>
          <w:sz w:val="20"/>
        </w:rPr>
        <w:t>python -m uvicorn app.main:app --host 127.0.0.1 --port 8000</w:t>
      </w:r>
    </w:p>
    <w:p>
      <w:pPr>
        <w:spacing w:after="160"/>
      </w:pPr>
    </w:p>
    <w:p>
      <w:pPr>
        <w:spacing w:before="0" w:after="120" w:lineRule="exact" w:line="440"/>
        <w:ind w:firstLine="480"/>
      </w:pPr>
      <w:r>
        <w:rPr>
          <w:rFonts w:ascii="Times New Roman" w:hAnsi="Times New Roman" w:eastAsia="宋体"/>
          <w:b w:val="0"/>
          <w:color w:val="222222"/>
          <w:sz w:val="24"/>
        </w:rPr>
        <w:t>启动成功后，可在浏览器访问 http://127.0.0.1:8000/docs 查看自动生成的 API 文档页面，以确认后端服务正常运行。</w:t>
      </w:r>
    </w:p>
    <w:p>
      <w:pPr>
        <w:spacing w:before="240" w:after="160"/>
      </w:pPr>
      <w:r>
        <w:rPr>
          <w:rFonts w:ascii="Times New Roman" w:hAnsi="Times New Roman" w:eastAsia="黑体"/>
          <w:b/>
          <w:color w:val="2C3E50"/>
          <w:sz w:val="28"/>
        </w:rPr>
        <w:t>3.5 Local Agent 启动</w:t>
      </w:r>
    </w:p>
    <w:p>
      <w:pPr>
        <w:spacing w:before="0" w:after="120" w:lineRule="exact" w:line="440"/>
        <w:ind w:firstLine="480"/>
      </w:pPr>
      <w:r>
        <w:rPr>
          <w:rFonts w:ascii="Times New Roman" w:hAnsi="Times New Roman" w:eastAsia="宋体"/>
          <w:b w:val="0"/>
          <w:color w:val="222222"/>
          <w:sz w:val="24"/>
        </w:rPr>
        <w:t>进入 local-agent 目录，执行以下命令启动本地 Agent 服务，默认监听 127.0.0.1:17890：</w:t>
      </w:r>
    </w:p>
    <w:p>
      <w:pPr>
        <w:spacing w:after="0" w:lineRule="exact" w:line="360"/>
        <w:ind w:left="480"/>
        <w:shd w:val="clear" w:fill="F2F4F5"/>
      </w:pPr>
      <w:r>
        <w:rPr>
          <w:rFonts w:ascii="Consolas" w:hAnsi="Consolas" w:eastAsia="宋体"/>
          <w:b w:val="0"/>
          <w:color w:val="104010"/>
          <w:sz w:val="20"/>
        </w:rPr>
        <w:t>cd local-agent</w:t>
      </w:r>
    </w:p>
    <w:p>
      <w:pPr>
        <w:spacing w:after="0" w:lineRule="exact" w:line="360"/>
        <w:ind w:left="480"/>
        <w:shd w:val="clear" w:fill="F2F4F5"/>
      </w:pPr>
      <w:r>
        <w:rPr>
          <w:rFonts w:ascii="Consolas" w:hAnsi="Consolas" w:eastAsia="宋体"/>
          <w:b w:val="0"/>
          <w:color w:val="104010"/>
          <w:sz w:val="20"/>
        </w:rPr>
        <w:t>python -m uvicorn main:app --host 127.0.0.1 --port 17890</w:t>
      </w:r>
    </w:p>
    <w:p>
      <w:pPr>
        <w:spacing w:after="160"/>
      </w:pPr>
    </w:p>
    <w:p>
      <w:pPr>
        <w:spacing w:before="0" w:after="120" w:lineRule="exact" w:line="440"/>
        <w:ind w:firstLine="480"/>
      </w:pPr>
      <w:r>
        <w:rPr>
          <w:rFonts w:ascii="Times New Roman" w:hAnsi="Times New Roman" w:eastAsia="宋体"/>
          <w:b w:val="0"/>
          <w:color w:val="222222"/>
          <w:sz w:val="24"/>
        </w:rPr>
        <w:t>启动成功后，可访问 http://127.0.0.1:17890/api/v1/local/health 查看健康检查结果，返回 status 为 healthy 即表示 Agent 正常运行。</w:t>
      </w:r>
    </w:p>
    <w:p>
      <w:pPr>
        <w:spacing w:before="240" w:after="160"/>
      </w:pPr>
      <w:r>
        <w:rPr>
          <w:rFonts w:ascii="Times New Roman" w:hAnsi="Times New Roman" w:eastAsia="黑体"/>
          <w:b/>
          <w:color w:val="2C3E50"/>
          <w:sz w:val="28"/>
        </w:rPr>
        <w:t>3.6 前端启动</w:t>
      </w:r>
    </w:p>
    <w:p>
      <w:pPr>
        <w:spacing w:before="0" w:after="120" w:lineRule="exact" w:line="440"/>
        <w:ind w:firstLine="480"/>
      </w:pPr>
      <w:r>
        <w:rPr>
          <w:rFonts w:ascii="Times New Roman" w:hAnsi="Times New Roman" w:eastAsia="宋体"/>
          <w:b w:val="0"/>
          <w:color w:val="222222"/>
          <w:sz w:val="24"/>
        </w:rPr>
        <w:t>进入 web-frontend 目录，安装依赖并启动前端开发服务器，默认监听 5173 端口：</w:t>
      </w:r>
    </w:p>
    <w:p>
      <w:pPr>
        <w:spacing w:after="0" w:lineRule="exact" w:line="360"/>
        <w:ind w:left="480"/>
        <w:shd w:val="clear" w:fill="F2F4F5"/>
      </w:pPr>
      <w:r>
        <w:rPr>
          <w:rFonts w:ascii="Consolas" w:hAnsi="Consolas" w:eastAsia="宋体"/>
          <w:b w:val="0"/>
          <w:color w:val="104010"/>
          <w:sz w:val="20"/>
        </w:rPr>
        <w:t>cd web-frontend</w:t>
      </w:r>
    </w:p>
    <w:p>
      <w:pPr>
        <w:spacing w:after="0" w:lineRule="exact" w:line="360"/>
        <w:ind w:left="480"/>
        <w:shd w:val="clear" w:fill="F2F4F5"/>
      </w:pPr>
      <w:r>
        <w:rPr>
          <w:rFonts w:ascii="Consolas" w:hAnsi="Consolas" w:eastAsia="宋体"/>
          <w:b w:val="0"/>
          <w:color w:val="104010"/>
          <w:sz w:val="20"/>
        </w:rPr>
        <w:t>npm install</w:t>
      </w:r>
    </w:p>
    <w:p>
      <w:pPr>
        <w:spacing w:after="0" w:lineRule="exact" w:line="360"/>
        <w:ind w:left="480"/>
        <w:shd w:val="clear" w:fill="F2F4F5"/>
      </w:pPr>
      <w:r>
        <w:rPr>
          <w:rFonts w:ascii="Consolas" w:hAnsi="Consolas" w:eastAsia="宋体"/>
          <w:b w:val="0"/>
          <w:color w:val="104010"/>
          <w:sz w:val="20"/>
        </w:rPr>
        <w:t>npm run dev</w:t>
      </w:r>
    </w:p>
    <w:p>
      <w:pPr>
        <w:spacing w:after="160"/>
      </w:pPr>
    </w:p>
    <w:p>
      <w:pPr>
        <w:spacing w:before="0" w:after="120" w:lineRule="exact" w:line="440"/>
        <w:ind w:firstLine="480"/>
      </w:pPr>
      <w:r>
        <w:rPr>
          <w:rFonts w:ascii="Times New Roman" w:hAnsi="Times New Roman" w:eastAsia="宋体"/>
          <w:b w:val="0"/>
          <w:color w:val="222222"/>
          <w:sz w:val="24"/>
        </w:rPr>
        <w:t>启动后在浏览器访问 http://localhost:5173 即可进入系统登录页面。</w:t>
      </w:r>
    </w:p>
    <w:p>
      <w:pPr>
        <w:spacing w:before="240" w:after="160"/>
      </w:pPr>
      <w:r>
        <w:rPr>
          <w:rFonts w:ascii="Times New Roman" w:hAnsi="Times New Roman" w:eastAsia="黑体"/>
          <w:b/>
          <w:color w:val="2C3E50"/>
          <w:sz w:val="28"/>
        </w:rPr>
        <w:t>3.7 启动顺序与验证</w:t>
      </w:r>
    </w:p>
    <w:p>
      <w:pPr>
        <w:spacing w:before="0" w:after="120" w:lineRule="exact" w:line="440"/>
        <w:ind w:firstLine="480"/>
      </w:pPr>
      <w:r>
        <w:rPr>
          <w:rFonts w:ascii="Times New Roman" w:hAnsi="Times New Roman" w:eastAsia="宋体"/>
          <w:b w:val="0"/>
          <w:color w:val="222222"/>
          <w:sz w:val="24"/>
        </w:rPr>
        <w:t>推荐的启动顺序为：先启动数据库，再启动 Web 后端，然后启动 Local Agent，最后启动前端。各服务的验证方式如下：</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fill="2C3E50"/>
          </w:tcPr>
          <w:p>
            <w:pPr>
              <w:jc w:val="center"/>
            </w:pPr>
            <w:r/>
            <w:r>
              <w:rPr>
                <w:rFonts w:ascii="Times New Roman" w:hAnsi="Times New Roman" w:eastAsia="黑体"/>
                <w:b/>
                <w:color w:val="FFFFFF"/>
                <w:sz w:val="21"/>
              </w:rPr>
              <w:t>服务</w:t>
            </w:r>
          </w:p>
        </w:tc>
        <w:tc>
          <w:tcPr>
            <w:tcW w:type="dxa" w:w="1701"/>
            <w:shd w:val="clear" w:fill="2C3E50"/>
          </w:tcPr>
          <w:p>
            <w:pPr>
              <w:jc w:val="center"/>
            </w:pPr>
            <w:r/>
            <w:r>
              <w:rPr>
                <w:rFonts w:ascii="Times New Roman" w:hAnsi="Times New Roman" w:eastAsia="黑体"/>
                <w:b/>
                <w:color w:val="FFFFFF"/>
                <w:sz w:val="21"/>
              </w:rPr>
              <w:t>端口</w:t>
            </w:r>
          </w:p>
        </w:tc>
        <w:tc>
          <w:tcPr>
            <w:tcW w:type="dxa" w:w="4819"/>
            <w:shd w:val="clear" w:fill="2C3E50"/>
          </w:tcPr>
          <w:p>
            <w:pPr>
              <w:jc w:val="center"/>
            </w:pPr>
            <w:r/>
            <w:r>
              <w:rPr>
                <w:rFonts w:ascii="Times New Roman" w:hAnsi="Times New Roman" w:eastAsia="黑体"/>
                <w:b/>
                <w:color w:val="FFFFFF"/>
                <w:sz w:val="21"/>
              </w:rPr>
              <w:t>验证方式</w:t>
            </w:r>
          </w:p>
        </w:tc>
      </w:tr>
      <w:tr>
        <w:tc>
          <w:tcPr>
            <w:tcW w:type="dxa" w:w="2268"/>
          </w:tcPr>
          <w:p>
            <w:pPr>
              <w:spacing w:after="40" w:lineRule="exact" w:line="360"/>
            </w:pPr>
            <w:r/>
            <w:r>
              <w:rPr>
                <w:rFonts w:ascii="Times New Roman" w:hAnsi="Times New Roman" w:eastAsia="宋体"/>
                <w:b w:val="0"/>
                <w:color w:val="222222"/>
                <w:sz w:val="20"/>
              </w:rPr>
              <w:t>Web 后端</w:t>
            </w:r>
          </w:p>
        </w:tc>
        <w:tc>
          <w:tcPr>
            <w:tcW w:type="dxa" w:w="1701"/>
          </w:tcPr>
          <w:p>
            <w:pPr>
              <w:spacing w:after="40" w:lineRule="exact" w:line="360"/>
            </w:pPr>
            <w:r/>
            <w:r>
              <w:rPr>
                <w:rFonts w:ascii="Times New Roman" w:hAnsi="Times New Roman" w:eastAsia="宋体"/>
                <w:b w:val="0"/>
                <w:color w:val="222222"/>
                <w:sz w:val="20"/>
              </w:rPr>
              <w:t>8000</w:t>
            </w:r>
          </w:p>
        </w:tc>
        <w:tc>
          <w:tcPr>
            <w:tcW w:type="dxa" w:w="4819"/>
          </w:tcPr>
          <w:p>
            <w:pPr>
              <w:spacing w:after="40" w:lineRule="exact" w:line="360"/>
            </w:pPr>
            <w:r/>
            <w:r>
              <w:rPr>
                <w:rFonts w:ascii="Times New Roman" w:hAnsi="Times New Roman" w:eastAsia="宋体"/>
                <w:b w:val="0"/>
                <w:color w:val="222222"/>
                <w:sz w:val="20"/>
              </w:rPr>
              <w:t>访问 /docs 出现 API 文档</w:t>
            </w:r>
          </w:p>
        </w:tc>
      </w:tr>
      <w:tr>
        <w:tc>
          <w:tcPr>
            <w:tcW w:type="dxa" w:w="2268"/>
          </w:tcPr>
          <w:p>
            <w:pPr>
              <w:spacing w:after="40" w:lineRule="exact" w:line="360"/>
            </w:pPr>
            <w:r/>
            <w:r>
              <w:rPr>
                <w:rFonts w:ascii="Times New Roman" w:hAnsi="Times New Roman" w:eastAsia="宋体"/>
                <w:b w:val="0"/>
                <w:color w:val="222222"/>
                <w:sz w:val="20"/>
              </w:rPr>
              <w:t>Local Agent</w:t>
            </w:r>
          </w:p>
        </w:tc>
        <w:tc>
          <w:tcPr>
            <w:tcW w:type="dxa" w:w="1701"/>
          </w:tcPr>
          <w:p>
            <w:pPr>
              <w:spacing w:after="40" w:lineRule="exact" w:line="360"/>
            </w:pPr>
            <w:r/>
            <w:r>
              <w:rPr>
                <w:rFonts w:ascii="Times New Roman" w:hAnsi="Times New Roman" w:eastAsia="宋体"/>
                <w:b w:val="0"/>
                <w:color w:val="222222"/>
                <w:sz w:val="20"/>
              </w:rPr>
              <w:t>17890</w:t>
            </w:r>
          </w:p>
        </w:tc>
        <w:tc>
          <w:tcPr>
            <w:tcW w:type="dxa" w:w="4819"/>
          </w:tcPr>
          <w:p>
            <w:pPr>
              <w:spacing w:after="40" w:lineRule="exact" w:line="360"/>
            </w:pPr>
            <w:r/>
            <w:r>
              <w:rPr>
                <w:rFonts w:ascii="Times New Roman" w:hAnsi="Times New Roman" w:eastAsia="宋体"/>
                <w:b w:val="0"/>
                <w:color w:val="222222"/>
                <w:sz w:val="20"/>
              </w:rPr>
              <w:t>访问 /api/v1/local/health 返回 healthy</w:t>
            </w:r>
          </w:p>
        </w:tc>
      </w:tr>
      <w:tr>
        <w:tc>
          <w:tcPr>
            <w:tcW w:type="dxa" w:w="2268"/>
          </w:tcPr>
          <w:p>
            <w:pPr>
              <w:spacing w:after="40" w:lineRule="exact" w:line="360"/>
            </w:pPr>
            <w:r/>
            <w:r>
              <w:rPr>
                <w:rFonts w:ascii="Times New Roman" w:hAnsi="Times New Roman" w:eastAsia="宋体"/>
                <w:b w:val="0"/>
                <w:color w:val="222222"/>
                <w:sz w:val="20"/>
              </w:rPr>
              <w:t>前端</w:t>
            </w:r>
          </w:p>
        </w:tc>
        <w:tc>
          <w:tcPr>
            <w:tcW w:type="dxa" w:w="1701"/>
          </w:tcPr>
          <w:p>
            <w:pPr>
              <w:spacing w:after="40" w:lineRule="exact" w:line="360"/>
            </w:pPr>
            <w:r/>
            <w:r>
              <w:rPr>
                <w:rFonts w:ascii="Times New Roman" w:hAnsi="Times New Roman" w:eastAsia="宋体"/>
                <w:b w:val="0"/>
                <w:color w:val="222222"/>
                <w:sz w:val="20"/>
              </w:rPr>
              <w:t>5173</w:t>
            </w:r>
          </w:p>
        </w:tc>
        <w:tc>
          <w:tcPr>
            <w:tcW w:type="dxa" w:w="4819"/>
          </w:tcPr>
          <w:p>
            <w:pPr>
              <w:spacing w:after="40" w:lineRule="exact" w:line="360"/>
            </w:pPr>
            <w:r/>
            <w:r>
              <w:rPr>
                <w:rFonts w:ascii="Times New Roman" w:hAnsi="Times New Roman" w:eastAsia="宋体"/>
                <w:b w:val="0"/>
                <w:color w:val="222222"/>
                <w:sz w:val="20"/>
              </w:rPr>
              <w:t>浏览器打开出现登录页</w:t>
            </w:r>
          </w:p>
        </w:tc>
      </w:tr>
    </w:tbl>
    <w:p>
      <w:pPr>
        <w:spacing w:after="160"/>
      </w:pPr>
    </w:p>
    <w:p>
      <w:r>
        <w:br w:type="page"/>
      </w:r>
    </w:p>
    <w:p>
      <w:pPr>
        <w:spacing w:before="120" w:after="280"/>
      </w:pPr>
      <w:r>
        <w:rPr>
          <w:rFonts w:ascii="Times New Roman" w:hAnsi="Times New Roman" w:eastAsia="黑体"/>
          <w:b/>
          <w:color w:val="1F3A5F"/>
          <w:sz w:val="36"/>
        </w:rPr>
        <w:t>第 4 章  快速入门</w:t>
      </w:r>
    </w:p>
    <w:p>
      <w:pPr>
        <w:spacing w:before="240" w:after="160"/>
      </w:pPr>
      <w:r>
        <w:rPr>
          <w:rFonts w:ascii="Times New Roman" w:hAnsi="Times New Roman" w:eastAsia="黑体"/>
          <w:b/>
          <w:color w:val="2C3E50"/>
          <w:sz w:val="28"/>
        </w:rPr>
        <w:t>4.1 完整使用流程概览</w:t>
      </w:r>
    </w:p>
    <w:p>
      <w:pPr>
        <w:spacing w:before="0" w:after="120" w:lineRule="exact" w:line="440"/>
        <w:ind w:firstLine="480"/>
      </w:pPr>
      <w:r>
        <w:rPr>
          <w:rFonts w:ascii="Times New Roman" w:hAnsi="Times New Roman" w:eastAsia="宋体"/>
          <w:b w:val="0"/>
          <w:color w:val="222222"/>
          <w:sz w:val="24"/>
        </w:rPr>
        <w:t>scAnnoRare 的典型使用流程包含以下几个阶段，依次完成即可得到一份多方法评估报告：</w:t>
      </w:r>
    </w:p>
    <w:p>
      <w:pPr>
        <w:spacing w:after="80" w:lineRule="exact" w:line="440"/>
        <w:ind w:left="480"/>
      </w:pPr>
      <w:r>
        <w:rPr>
          <w:rFonts w:ascii="Times New Roman" w:hAnsi="Times New Roman" w:eastAsia="黑体"/>
          <w:b/>
          <w:color w:val="1F3A5F"/>
          <w:sz w:val="24"/>
        </w:rPr>
        <w:t xml:space="preserve">步骤 1　</w:t>
      </w:r>
      <w:r>
        <w:rPr>
          <w:rFonts w:ascii="Times New Roman" w:hAnsi="Times New Roman" w:eastAsia="宋体"/>
          <w:b w:val="0"/>
          <w:color w:val="222222"/>
          <w:sz w:val="24"/>
        </w:rPr>
        <w:t>登录系统：使用默认账号或注册新账号登录 Web 平台；</w:t>
      </w:r>
    </w:p>
    <w:p>
      <w:pPr>
        <w:spacing w:after="80" w:lineRule="exact" w:line="440"/>
        <w:ind w:left="480"/>
      </w:pPr>
      <w:r>
        <w:rPr>
          <w:rFonts w:ascii="Times New Roman" w:hAnsi="Times New Roman" w:eastAsia="黑体"/>
          <w:b/>
          <w:color w:val="1F3A5F"/>
          <w:sz w:val="24"/>
        </w:rPr>
        <w:t xml:space="preserve">步骤 2　</w:t>
      </w:r>
      <w:r>
        <w:rPr>
          <w:rFonts w:ascii="Times New Roman" w:hAnsi="Times New Roman" w:eastAsia="宋体"/>
          <w:b w:val="0"/>
          <w:color w:val="222222"/>
          <w:sz w:val="24"/>
        </w:rPr>
        <w:t>配对计算节点：启动本地 Agent，在 Web 平台输入配对码完成授权；</w:t>
      </w:r>
    </w:p>
    <w:p>
      <w:pPr>
        <w:spacing w:after="80" w:lineRule="exact" w:line="440"/>
        <w:ind w:left="480"/>
      </w:pPr>
      <w:r>
        <w:rPr>
          <w:rFonts w:ascii="Times New Roman" w:hAnsi="Times New Roman" w:eastAsia="黑体"/>
          <w:b/>
          <w:color w:val="1F3A5F"/>
          <w:sz w:val="24"/>
        </w:rPr>
        <w:t xml:space="preserve">步骤 3　</w:t>
      </w:r>
      <w:r>
        <w:rPr>
          <w:rFonts w:ascii="Times New Roman" w:hAnsi="Times New Roman" w:eastAsia="宋体"/>
          <w:b w:val="0"/>
          <w:color w:val="222222"/>
          <w:sz w:val="24"/>
        </w:rPr>
        <w:t>注册数据集：选择本地 .h5ad 文件，检测数据结构并注册；</w:t>
      </w:r>
    </w:p>
    <w:p>
      <w:pPr>
        <w:spacing w:after="80" w:lineRule="exact" w:line="440"/>
        <w:ind w:left="480"/>
      </w:pPr>
      <w:r>
        <w:rPr>
          <w:rFonts w:ascii="Times New Roman" w:hAnsi="Times New Roman" w:eastAsia="黑体"/>
          <w:b/>
          <w:color w:val="1F3A5F"/>
          <w:sz w:val="24"/>
        </w:rPr>
        <w:t xml:space="preserve">步骤 4　</w:t>
      </w:r>
      <w:r>
        <w:rPr>
          <w:rFonts w:ascii="Times New Roman" w:hAnsi="Times New Roman" w:eastAsia="宋体"/>
          <w:b w:val="0"/>
          <w:color w:val="222222"/>
          <w:sz w:val="24"/>
        </w:rPr>
        <w:t>配置实验：选定数据集与标签列，创建注释评估或稀有识别实验；</w:t>
      </w:r>
    </w:p>
    <w:p>
      <w:pPr>
        <w:spacing w:after="80" w:lineRule="exact" w:line="440"/>
        <w:ind w:left="480"/>
      </w:pPr>
      <w:r>
        <w:rPr>
          <w:rFonts w:ascii="Times New Roman" w:hAnsi="Times New Roman" w:eastAsia="黑体"/>
          <w:b/>
          <w:color w:val="1F3A5F"/>
          <w:sz w:val="24"/>
        </w:rPr>
        <w:t xml:space="preserve">步骤 5　</w:t>
      </w:r>
      <w:r>
        <w:rPr>
          <w:rFonts w:ascii="Times New Roman" w:hAnsi="Times New Roman" w:eastAsia="宋体"/>
          <w:b w:val="0"/>
          <w:color w:val="222222"/>
          <w:sz w:val="24"/>
        </w:rPr>
        <w:t>导入并运行方法：上传方法预测结果 CSV，提交至本地节点计算；</w:t>
      </w:r>
    </w:p>
    <w:p>
      <w:pPr>
        <w:spacing w:after="80" w:lineRule="exact" w:line="440"/>
        <w:ind w:left="480"/>
      </w:pPr>
      <w:r>
        <w:rPr>
          <w:rFonts w:ascii="Times New Roman" w:hAnsi="Times New Roman" w:eastAsia="黑体"/>
          <w:b/>
          <w:color w:val="1F3A5F"/>
          <w:sz w:val="24"/>
        </w:rPr>
        <w:t xml:space="preserve">步骤 6　</w:t>
      </w:r>
      <w:r>
        <w:rPr>
          <w:rFonts w:ascii="Times New Roman" w:hAnsi="Times New Roman" w:eastAsia="宋体"/>
          <w:b w:val="0"/>
          <w:color w:val="222222"/>
          <w:sz w:val="24"/>
        </w:rPr>
        <w:t>查看对比与报告：在对比排行榜中比较各方法，查看并下载评估报告。</w:t>
      </w:r>
    </w:p>
    <w:p>
      <w:pPr>
        <w:spacing w:before="240" w:after="160"/>
      </w:pPr>
      <w:r>
        <w:rPr>
          <w:rFonts w:ascii="Times New Roman" w:hAnsi="Times New Roman" w:eastAsia="黑体"/>
          <w:b/>
          <w:color w:val="2C3E50"/>
          <w:sz w:val="28"/>
        </w:rPr>
        <w:t>4.2 五分钟快速体验</w:t>
      </w:r>
    </w:p>
    <w:p>
      <w:pPr>
        <w:spacing w:before="0" w:after="120" w:lineRule="exact" w:line="440"/>
        <w:ind w:firstLine="480"/>
      </w:pPr>
      <w:r>
        <w:rPr>
          <w:rFonts w:ascii="Times New Roman" w:hAnsi="Times New Roman" w:eastAsia="宋体"/>
          <w:b w:val="0"/>
          <w:color w:val="222222"/>
          <w:sz w:val="24"/>
        </w:rPr>
        <w:t>系统在本地工作区预置了一个 tiny 测试数据集和对应的预测结果 CSV，便于首次使用者快速跑通完整流程。在数据集注册页和方法导入页均提供了「快速测试路径」一键填入功能，点击即可自动填充测试文件路径，无需手动输入。建议首次使用时先用测试数据走通全流程，再切换到真实数据。</w:t>
      </w:r>
    </w:p>
    <w:p>
      <w:pPr>
        <w:spacing w:before="240" w:after="160"/>
      </w:pPr>
      <w:r>
        <w:rPr>
          <w:rFonts w:ascii="Times New Roman" w:hAnsi="Times New Roman" w:eastAsia="黑体"/>
          <w:b/>
          <w:color w:val="2C3E50"/>
          <w:sz w:val="28"/>
        </w:rPr>
        <w:t>4.3 界面总体布局</w:t>
      </w:r>
    </w:p>
    <w:p>
      <w:pPr>
        <w:spacing w:before="0" w:after="120" w:lineRule="exact" w:line="440"/>
        <w:ind w:firstLine="480"/>
      </w:pPr>
      <w:r>
        <w:rPr>
          <w:rFonts w:ascii="Times New Roman" w:hAnsi="Times New Roman" w:eastAsia="宋体"/>
          <w:b w:val="0"/>
          <w:color w:val="222222"/>
          <w:sz w:val="24"/>
        </w:rPr>
        <w:t>登录后进入系统主界面。界面左侧为导航侧边栏，包含「首页控制台、计算节点配对、数据集注册、实验配置管理、评估与对比、报告中心」六个主要功能入口；侧边栏底部显示当前登录用户与退出按钮。界面顶部为面包屑导航与 Local Agent 连接状态徽章；右侧主区域为各功能页面的内容区。</w:t>
      </w:r>
    </w:p>
    <w:p>
      <w:r>
        <w:br w:type="page"/>
      </w:r>
    </w:p>
    <w:p>
      <w:pPr>
        <w:spacing w:before="120" w:after="280"/>
      </w:pPr>
      <w:r>
        <w:rPr>
          <w:rFonts w:ascii="Times New Roman" w:hAnsi="Times New Roman" w:eastAsia="黑体"/>
          <w:b/>
          <w:color w:val="1F3A5F"/>
          <w:sz w:val="36"/>
        </w:rPr>
        <w:t>第 5 章  用户登录与账号管理</w:t>
      </w:r>
    </w:p>
    <w:p>
      <w:pPr>
        <w:spacing w:before="240" w:after="160"/>
      </w:pPr>
      <w:r>
        <w:rPr>
          <w:rFonts w:ascii="Times New Roman" w:hAnsi="Times New Roman" w:eastAsia="黑体"/>
          <w:b/>
          <w:color w:val="2C3E50"/>
          <w:sz w:val="28"/>
        </w:rPr>
        <w:t>5.1 登录页面</w:t>
      </w:r>
    </w:p>
    <w:p>
      <w:pPr>
        <w:spacing w:before="0" w:after="120" w:lineRule="exact" w:line="440"/>
        <w:ind w:firstLine="480"/>
      </w:pPr>
      <w:r>
        <w:rPr>
          <w:rFonts w:ascii="Times New Roman" w:hAnsi="Times New Roman" w:eastAsia="宋体"/>
          <w:b w:val="0"/>
          <w:color w:val="222222"/>
          <w:sz w:val="24"/>
        </w:rPr>
        <w:t>在浏览器中访问系统地址后，若尚未登录，系统会自动跳转至登录页面。登录页采用居中卡片式布局，包含「登录」与「注册」两个标签页，并在底部提供默认账号提示。</w:t>
      </w:r>
    </w:p>
    <w:p>
      <w:pPr>
        <w:spacing w:before="160" w:after="40"/>
        <w:jc w:val="center"/>
      </w:pPr>
      <w:r>
        <w:drawing>
          <wp:inline xmlns:a="http://schemas.openxmlformats.org/drawingml/2006/main" xmlns:pic="http://schemas.openxmlformats.org/drawingml/2006/picture">
            <wp:extent cx="4500000" cy="2985000"/>
            <wp:docPr id="1" name="Picture 1"/>
            <wp:cNvGraphicFramePr>
              <a:graphicFrameLocks noChangeAspect="1"/>
            </wp:cNvGraphicFramePr>
            <a:graphic>
              <a:graphicData uri="http://schemas.openxmlformats.org/drawingml/2006/picture">
                <pic:pic>
                  <pic:nvPicPr>
                    <pic:cNvPr id="0" name="test-01-login-page.png"/>
                    <pic:cNvPicPr/>
                  </pic:nvPicPr>
                  <pic:blipFill>
                    <a:blip r:embed="rId9"/>
                    <a:stretch>
                      <a:fillRect/>
                    </a:stretch>
                  </pic:blipFill>
                  <pic:spPr>
                    <a:xfrm>
                      <a:off x="0" y="0"/>
                      <a:ext cx="4500000" cy="2985000"/>
                    </a:xfrm>
                    <a:prstGeom prst="rect"/>
                  </pic:spPr>
                </pic:pic>
              </a:graphicData>
            </a:graphic>
          </wp:inline>
        </w:drawing>
      </w:r>
    </w:p>
    <w:p>
      <w:pPr>
        <w:spacing w:after="240"/>
        <w:jc w:val="center"/>
      </w:pPr>
      <w:r>
        <w:rPr>
          <w:rFonts w:ascii="Times New Roman" w:hAnsi="Times New Roman" w:eastAsia="宋体"/>
          <w:b w:val="0"/>
          <w:color w:val="666666"/>
          <w:sz w:val="21"/>
        </w:rPr>
        <w:t>图 5-1　系统登录页面</w:t>
      </w:r>
    </w:p>
    <w:p>
      <w:pPr>
        <w:spacing w:before="240" w:after="160"/>
      </w:pPr>
      <w:r>
        <w:rPr>
          <w:rFonts w:ascii="Times New Roman" w:hAnsi="Times New Roman" w:eastAsia="黑体"/>
          <w:b/>
          <w:color w:val="2C3E50"/>
          <w:sz w:val="28"/>
        </w:rPr>
        <w:t>5.2 用户登录</w:t>
      </w:r>
    </w:p>
    <w:p>
      <w:pPr>
        <w:spacing w:after="80" w:lineRule="exact" w:line="440"/>
        <w:ind w:left="480"/>
      </w:pPr>
      <w:r>
        <w:rPr>
          <w:rFonts w:ascii="Times New Roman" w:hAnsi="Times New Roman" w:eastAsia="黑体"/>
          <w:b/>
          <w:color w:val="1F3A5F"/>
          <w:sz w:val="24"/>
        </w:rPr>
        <w:t xml:space="preserve">步骤 1　</w:t>
      </w:r>
      <w:r>
        <w:rPr>
          <w:rFonts w:ascii="Times New Roman" w:hAnsi="Times New Roman" w:eastAsia="宋体"/>
          <w:b w:val="0"/>
          <w:color w:val="222222"/>
          <w:sz w:val="24"/>
        </w:rPr>
        <w:t>在「登录」标签页中输入用户名与密码；</w:t>
      </w:r>
    </w:p>
    <w:p>
      <w:pPr>
        <w:spacing w:after="80" w:lineRule="exact" w:line="440"/>
        <w:ind w:left="480"/>
      </w:pPr>
      <w:r>
        <w:rPr>
          <w:rFonts w:ascii="Times New Roman" w:hAnsi="Times New Roman" w:eastAsia="黑体"/>
          <w:b/>
          <w:color w:val="1F3A5F"/>
          <w:sz w:val="24"/>
        </w:rPr>
        <w:t xml:space="preserve">步骤 2　</w:t>
      </w:r>
      <w:r>
        <w:rPr>
          <w:rFonts w:ascii="Times New Roman" w:hAnsi="Times New Roman" w:eastAsia="宋体"/>
          <w:b w:val="0"/>
          <w:color w:val="222222"/>
          <w:sz w:val="24"/>
        </w:rPr>
        <w:t>点击「登录系统」按钮提交；</w:t>
      </w:r>
    </w:p>
    <w:p>
      <w:pPr>
        <w:spacing w:after="80" w:lineRule="exact" w:line="440"/>
        <w:ind w:left="480"/>
      </w:pPr>
      <w:r>
        <w:rPr>
          <w:rFonts w:ascii="Times New Roman" w:hAnsi="Times New Roman" w:eastAsia="黑体"/>
          <w:b/>
          <w:color w:val="1F3A5F"/>
          <w:sz w:val="24"/>
        </w:rPr>
        <w:t xml:space="preserve">步骤 3　</w:t>
      </w:r>
      <w:r>
        <w:rPr>
          <w:rFonts w:ascii="Times New Roman" w:hAnsi="Times New Roman" w:eastAsia="宋体"/>
          <w:b w:val="0"/>
          <w:color w:val="222222"/>
          <w:sz w:val="24"/>
        </w:rPr>
        <w:t>登录成功后系统提示欢迎信息，并自动跳转至首页控制台。</w:t>
      </w:r>
    </w:p>
    <w:p>
      <w:pPr>
        <w:spacing w:before="80" w:after="160" w:lineRule="exact" w:line="400"/>
        <w:ind w:left="360"/>
      </w:pPr>
      <w:r>
        <w:rPr>
          <w:rFonts w:ascii="Times New Roman" w:hAnsi="Times New Roman" w:eastAsia="黑体"/>
          <w:b/>
          <w:color w:val="B06000"/>
          <w:sz w:val="22"/>
        </w:rPr>
        <w:t>【提示】</w:t>
      </w:r>
      <w:r>
        <w:rPr>
          <w:rFonts w:ascii="Times New Roman" w:hAnsi="Times New Roman" w:eastAsia="宋体"/>
          <w:b w:val="0"/>
          <w:color w:val="666666"/>
          <w:sz w:val="22"/>
        </w:rPr>
        <w:t>首次使用可点击页面底部的「admin / admin」提示，自动填入默认管理员账号的用户名与密码。</w:t>
      </w:r>
    </w:p>
    <w:p>
      <w:pPr>
        <w:spacing w:before="240" w:after="160"/>
      </w:pPr>
      <w:r>
        <w:rPr>
          <w:rFonts w:ascii="Times New Roman" w:hAnsi="Times New Roman" w:eastAsia="黑体"/>
          <w:b/>
          <w:color w:val="2C3E50"/>
          <w:sz w:val="28"/>
        </w:rPr>
        <w:t>5.3 注册新账号</w:t>
      </w:r>
    </w:p>
    <w:p>
      <w:pPr>
        <w:spacing w:before="0" w:after="120" w:lineRule="exact" w:line="440"/>
        <w:ind w:firstLine="480"/>
      </w:pPr>
      <w:r>
        <w:rPr>
          <w:rFonts w:ascii="Times New Roman" w:hAnsi="Times New Roman" w:eastAsia="宋体"/>
          <w:b w:val="0"/>
          <w:color w:val="222222"/>
          <w:sz w:val="24"/>
        </w:rPr>
        <w:t>若需要使用独立账号，可切换到「注册」标签页：</w:t>
      </w:r>
    </w:p>
    <w:p>
      <w:pPr>
        <w:spacing w:after="80" w:lineRule="exact" w:line="440"/>
        <w:ind w:left="480"/>
      </w:pPr>
      <w:r>
        <w:rPr>
          <w:rFonts w:ascii="Times New Roman" w:hAnsi="Times New Roman" w:eastAsia="黑体"/>
          <w:b/>
          <w:color w:val="1F3A5F"/>
          <w:sz w:val="24"/>
        </w:rPr>
        <w:t xml:space="preserve">步骤 1　</w:t>
      </w:r>
      <w:r>
        <w:rPr>
          <w:rFonts w:ascii="Times New Roman" w:hAnsi="Times New Roman" w:eastAsia="宋体"/>
          <w:b w:val="0"/>
          <w:color w:val="222222"/>
          <w:sz w:val="24"/>
        </w:rPr>
        <w:t>填写邮箱、用户名、密码三项信息；</w:t>
      </w:r>
    </w:p>
    <w:p>
      <w:pPr>
        <w:spacing w:after="80" w:lineRule="exact" w:line="440"/>
        <w:ind w:left="480"/>
      </w:pPr>
      <w:r>
        <w:rPr>
          <w:rFonts w:ascii="Times New Roman" w:hAnsi="Times New Roman" w:eastAsia="黑体"/>
          <w:b/>
          <w:color w:val="1F3A5F"/>
          <w:sz w:val="24"/>
        </w:rPr>
        <w:t xml:space="preserve">步骤 2　</w:t>
      </w:r>
      <w:r>
        <w:rPr>
          <w:rFonts w:ascii="Times New Roman" w:hAnsi="Times New Roman" w:eastAsia="宋体"/>
          <w:b w:val="0"/>
          <w:color w:val="222222"/>
          <w:sz w:val="24"/>
        </w:rPr>
        <w:t>点击「创建账号」按钮提交注册；</w:t>
      </w:r>
    </w:p>
    <w:p>
      <w:pPr>
        <w:spacing w:after="80" w:lineRule="exact" w:line="440"/>
        <w:ind w:left="480"/>
      </w:pPr>
      <w:r>
        <w:rPr>
          <w:rFonts w:ascii="Times New Roman" w:hAnsi="Times New Roman" w:eastAsia="黑体"/>
          <w:b/>
          <w:color w:val="1F3A5F"/>
          <w:sz w:val="24"/>
        </w:rPr>
        <w:t xml:space="preserve">步骤 3　</w:t>
      </w:r>
      <w:r>
        <w:rPr>
          <w:rFonts w:ascii="Times New Roman" w:hAnsi="Times New Roman" w:eastAsia="宋体"/>
          <w:b w:val="0"/>
          <w:color w:val="222222"/>
          <w:sz w:val="24"/>
        </w:rPr>
        <w:t>注册成功后系统自动切换回登录标签页，并预填刚注册的用户名与密码。</w:t>
      </w:r>
    </w:p>
    <w:p>
      <w:pPr>
        <w:spacing w:before="80" w:after="160" w:lineRule="exact" w:line="400"/>
        <w:ind w:left="360"/>
      </w:pPr>
      <w:r>
        <w:rPr>
          <w:rFonts w:ascii="Times New Roman" w:hAnsi="Times New Roman" w:eastAsia="黑体"/>
          <w:b/>
          <w:color w:val="B06000"/>
          <w:sz w:val="22"/>
        </w:rPr>
        <w:t>【提示】</w:t>
      </w:r>
      <w:r>
        <w:rPr>
          <w:rFonts w:ascii="Times New Roman" w:hAnsi="Times New Roman" w:eastAsia="宋体"/>
          <w:b w:val="0"/>
          <w:color w:val="666666"/>
          <w:sz w:val="22"/>
        </w:rPr>
        <w:t>用户名具有唯一性，若注册时提示「用户名已存在」，请更换其他用户名。</w:t>
      </w:r>
    </w:p>
    <w:p>
      <w:pPr>
        <w:spacing w:before="240" w:after="160"/>
      </w:pPr>
      <w:r>
        <w:rPr>
          <w:rFonts w:ascii="Times New Roman" w:hAnsi="Times New Roman" w:eastAsia="黑体"/>
          <w:b/>
          <w:color w:val="2C3E50"/>
          <w:sz w:val="28"/>
        </w:rPr>
        <w:t>5.4 退出登录</w:t>
      </w:r>
    </w:p>
    <w:p>
      <w:pPr>
        <w:spacing w:before="0" w:after="120" w:lineRule="exact" w:line="440"/>
        <w:ind w:firstLine="480"/>
      </w:pPr>
      <w:r>
        <w:rPr>
          <w:rFonts w:ascii="Times New Roman" w:hAnsi="Times New Roman" w:eastAsia="宋体"/>
          <w:b w:val="0"/>
          <w:color w:val="222222"/>
          <w:sz w:val="24"/>
        </w:rPr>
        <w:t>在任意功能页面，点击左侧侧边栏底部的「退出」按钮即可退出登录。退出后系统会清除本地登录状态并跳回登录页面。出于安全考虑，退出登录的同时也会解除当前的本地 Agent 配对状态。</w:t>
      </w:r>
    </w:p>
    <w:p>
      <w:pPr>
        <w:spacing w:before="240" w:after="160"/>
      </w:pPr>
      <w:r>
        <w:rPr>
          <w:rFonts w:ascii="Times New Roman" w:hAnsi="Times New Roman" w:eastAsia="黑体"/>
          <w:b/>
          <w:color w:val="2C3E50"/>
          <w:sz w:val="28"/>
        </w:rPr>
        <w:t>5.5 路由访问控制</w:t>
      </w:r>
    </w:p>
    <w:p>
      <w:pPr>
        <w:spacing w:before="0" w:after="120" w:lineRule="exact" w:line="440"/>
        <w:ind w:firstLine="480"/>
      </w:pPr>
      <w:r>
        <w:rPr>
          <w:rFonts w:ascii="Times New Roman" w:hAnsi="Times New Roman" w:eastAsia="宋体"/>
          <w:b w:val="0"/>
          <w:color w:val="222222"/>
          <w:sz w:val="24"/>
        </w:rPr>
        <w:t>系统对页面访问进行登录态校验。未登录用户访问任何功能页面时，都会被自动重定向到登录页；已登录用户访问登录页时，则会自动跳转回首页控制台，避免重复登录。</w:t>
      </w:r>
    </w:p>
    <w:p>
      <w:r>
        <w:br w:type="page"/>
      </w:r>
    </w:p>
    <w:p>
      <w:pPr>
        <w:spacing w:before="120" w:after="280"/>
      </w:pPr>
      <w:r>
        <w:rPr>
          <w:rFonts w:ascii="Times New Roman" w:hAnsi="Times New Roman" w:eastAsia="黑体"/>
          <w:b/>
          <w:color w:val="1F3A5F"/>
          <w:sz w:val="36"/>
        </w:rPr>
        <w:t>第 6 章  计算节点配对</w:t>
      </w:r>
    </w:p>
    <w:p>
      <w:pPr>
        <w:spacing w:before="240" w:after="160"/>
      </w:pPr>
      <w:r>
        <w:rPr>
          <w:rFonts w:ascii="Times New Roman" w:hAnsi="Times New Roman" w:eastAsia="黑体"/>
          <w:b/>
          <w:color w:val="2C3E50"/>
          <w:sz w:val="28"/>
        </w:rPr>
        <w:t>6.1 为什么需要配对</w:t>
      </w:r>
    </w:p>
    <w:p>
      <w:pPr>
        <w:spacing w:before="0" w:after="120" w:lineRule="exact" w:line="440"/>
        <w:ind w:firstLine="480"/>
      </w:pPr>
      <w:r>
        <w:rPr>
          <w:rFonts w:ascii="Times New Roman" w:hAnsi="Times New Roman" w:eastAsia="宋体"/>
          <w:b w:val="0"/>
          <w:color w:val="222222"/>
          <w:sz w:val="24"/>
        </w:rPr>
        <w:t>由于原始单细胞数据默认保存在本地、计算任务也在本地执行，Web 平台需要与本地 Agent 建立可信连接，才能下发任务、读取本地文件并获取计算结果。配对机制通过一次性配对码与会话令牌，确保只有经过用户授权的 Web 页面才能访问本地 Agent，保障本地数据与计算资源的安全。</w:t>
      </w:r>
    </w:p>
    <w:p>
      <w:pPr>
        <w:spacing w:before="240" w:after="160"/>
      </w:pPr>
      <w:r>
        <w:rPr>
          <w:rFonts w:ascii="Times New Roman" w:hAnsi="Times New Roman" w:eastAsia="黑体"/>
          <w:b/>
          <w:color w:val="2C3E50"/>
          <w:sz w:val="28"/>
        </w:rPr>
        <w:t>6.2 启动 Local Agent</w:t>
      </w:r>
    </w:p>
    <w:p>
      <w:pPr>
        <w:spacing w:before="0" w:after="120" w:lineRule="exact" w:line="440"/>
        <w:ind w:firstLine="480"/>
      </w:pPr>
      <w:r>
        <w:rPr>
          <w:rFonts w:ascii="Times New Roman" w:hAnsi="Times New Roman" w:eastAsia="宋体"/>
          <w:b w:val="0"/>
          <w:color w:val="222222"/>
          <w:sz w:val="24"/>
        </w:rPr>
        <w:t>在进行配对前，请确保本地 Agent 服务已经启动并监听 127.0.0.1:17890。系统会自动检测 Agent 的在线状态：若检测到 Agent 在线，配对页面顶部的连接诊断会显示绿色状态；若未检测到，则提示在终端启动 Agent 服务。</w:t>
      </w:r>
    </w:p>
    <w:p>
      <w:pPr>
        <w:spacing w:before="160" w:after="40"/>
        <w:jc w:val="center"/>
      </w:pPr>
      <w:r>
        <w:drawing>
          <wp:inline xmlns:a="http://schemas.openxmlformats.org/drawingml/2006/main" xmlns:pic="http://schemas.openxmlformats.org/drawingml/2006/picture">
            <wp:extent cx="5040000" cy="3343200"/>
            <wp:docPr id="2" name="Picture 2"/>
            <wp:cNvGraphicFramePr>
              <a:graphicFrameLocks noChangeAspect="1"/>
            </wp:cNvGraphicFramePr>
            <a:graphic>
              <a:graphicData uri="http://schemas.openxmlformats.org/drawingml/2006/picture">
                <pic:pic>
                  <pic:nvPicPr>
                    <pic:cNvPr id="0" name="test-05-agent-after-fix.png"/>
                    <pic:cNvPicPr/>
                  </pic:nvPicPr>
                  <pic:blipFill>
                    <a:blip r:embed="rId10"/>
                    <a:stretch>
                      <a:fillRect/>
                    </a:stretch>
                  </pic:blipFill>
                  <pic:spPr>
                    <a:xfrm>
                      <a:off x="0" y="0"/>
                      <a:ext cx="5040000" cy="3343200"/>
                    </a:xfrm>
                    <a:prstGeom prst="rect"/>
                  </pic:spPr>
                </pic:pic>
              </a:graphicData>
            </a:graphic>
          </wp:inline>
        </w:drawing>
      </w:r>
    </w:p>
    <w:p>
      <w:pPr>
        <w:spacing w:after="240"/>
        <w:jc w:val="center"/>
      </w:pPr>
      <w:r>
        <w:rPr>
          <w:rFonts w:ascii="Times New Roman" w:hAnsi="Times New Roman" w:eastAsia="宋体"/>
          <w:b w:val="0"/>
          <w:color w:val="666666"/>
          <w:sz w:val="21"/>
        </w:rPr>
        <w:t>图 6-1　计算节点配对页面（等待配对验证）</w:t>
      </w:r>
    </w:p>
    <w:p>
      <w:pPr>
        <w:spacing w:before="240" w:after="160"/>
      </w:pPr>
      <w:r>
        <w:rPr>
          <w:rFonts w:ascii="Times New Roman" w:hAnsi="Times New Roman" w:eastAsia="黑体"/>
          <w:b/>
          <w:color w:val="2C3E50"/>
          <w:sz w:val="28"/>
        </w:rPr>
        <w:t>6.3 生成配对码</w:t>
      </w:r>
    </w:p>
    <w:p>
      <w:pPr>
        <w:spacing w:before="0" w:after="120" w:lineRule="exact" w:line="440"/>
        <w:ind w:firstLine="480"/>
      </w:pPr>
      <w:r>
        <w:rPr>
          <w:rFonts w:ascii="Times New Roman" w:hAnsi="Times New Roman" w:eastAsia="宋体"/>
          <w:b w:val="0"/>
          <w:color w:val="222222"/>
          <w:sz w:val="24"/>
        </w:rPr>
        <w:t>配对码由本地 Agent 生成，是一段 6 位的大写字母与数字组合，有效期为 5 分钟，且仅可使用一次。为防止暴力猜测，连续 5 次输入错误后该配对码即失效，需要重新生成。</w:t>
      </w:r>
    </w:p>
    <w:p>
      <w:pPr>
        <w:spacing w:before="240" w:after="160"/>
      </w:pPr>
      <w:r>
        <w:rPr>
          <w:rFonts w:ascii="Times New Roman" w:hAnsi="Times New Roman" w:eastAsia="黑体"/>
          <w:b/>
          <w:color w:val="2C3E50"/>
          <w:sz w:val="28"/>
        </w:rPr>
        <w:t>6.4 输入配对码完成授权</w:t>
      </w:r>
    </w:p>
    <w:p>
      <w:pPr>
        <w:spacing w:after="80" w:lineRule="exact" w:line="440"/>
        <w:ind w:left="480"/>
      </w:pPr>
      <w:r>
        <w:rPr>
          <w:rFonts w:ascii="Times New Roman" w:hAnsi="Times New Roman" w:eastAsia="黑体"/>
          <w:b/>
          <w:color w:val="1F3A5F"/>
          <w:sz w:val="24"/>
        </w:rPr>
        <w:t xml:space="preserve">步骤 1　</w:t>
      </w:r>
      <w:r>
        <w:rPr>
          <w:rFonts w:ascii="Times New Roman" w:hAnsi="Times New Roman" w:eastAsia="宋体"/>
          <w:b w:val="0"/>
          <w:color w:val="222222"/>
          <w:sz w:val="24"/>
        </w:rPr>
        <w:t>在「节点配对授权」区域的输入框中填入 6 位配对码；</w:t>
      </w:r>
    </w:p>
    <w:p>
      <w:pPr>
        <w:spacing w:after="80" w:lineRule="exact" w:line="440"/>
        <w:ind w:left="480"/>
      </w:pPr>
      <w:r>
        <w:rPr>
          <w:rFonts w:ascii="Times New Roman" w:hAnsi="Times New Roman" w:eastAsia="黑体"/>
          <w:b/>
          <w:color w:val="1F3A5F"/>
          <w:sz w:val="24"/>
        </w:rPr>
        <w:t xml:space="preserve">步骤 2　</w:t>
      </w:r>
      <w:r>
        <w:rPr>
          <w:rFonts w:ascii="Times New Roman" w:hAnsi="Times New Roman" w:eastAsia="宋体"/>
          <w:b w:val="0"/>
          <w:color w:val="222222"/>
          <w:sz w:val="24"/>
        </w:rPr>
        <w:t>点击「发起节点配对」按钮；</w:t>
      </w:r>
    </w:p>
    <w:p>
      <w:pPr>
        <w:spacing w:after="80" w:lineRule="exact" w:line="440"/>
        <w:ind w:left="480"/>
      </w:pPr>
      <w:r>
        <w:rPr>
          <w:rFonts w:ascii="Times New Roman" w:hAnsi="Times New Roman" w:eastAsia="黑体"/>
          <w:b/>
          <w:color w:val="1F3A5F"/>
          <w:sz w:val="24"/>
        </w:rPr>
        <w:t xml:space="preserve">步骤 3　</w:t>
      </w:r>
      <w:r>
        <w:rPr>
          <w:rFonts w:ascii="Times New Roman" w:hAnsi="Times New Roman" w:eastAsia="宋体"/>
          <w:b w:val="0"/>
          <w:color w:val="222222"/>
          <w:sz w:val="24"/>
        </w:rPr>
        <w:t>校验通过后，Agent 返回会话令牌，页面状态变为「已授权配对」。</w:t>
      </w:r>
    </w:p>
    <w:p>
      <w:pPr>
        <w:spacing w:before="80" w:after="160" w:lineRule="exact" w:line="400"/>
        <w:ind w:left="360"/>
      </w:pPr>
      <w:r>
        <w:rPr>
          <w:rFonts w:ascii="Times New Roman" w:hAnsi="Times New Roman" w:eastAsia="黑体"/>
          <w:b/>
          <w:color w:val="B06000"/>
          <w:sz w:val="22"/>
        </w:rPr>
        <w:t>【提示】</w:t>
      </w:r>
      <w:r>
        <w:rPr>
          <w:rFonts w:ascii="Times New Roman" w:hAnsi="Times New Roman" w:eastAsia="宋体"/>
          <w:b w:val="0"/>
          <w:color w:val="666666"/>
          <w:sz w:val="22"/>
        </w:rPr>
        <w:t>会话令牌仅保存在当前浏览器会话与 Agent 进程内存中；Agent 重启后令牌自动失效，需要重新配对。</w:t>
      </w:r>
    </w:p>
    <w:p>
      <w:pPr>
        <w:spacing w:before="240" w:after="160"/>
      </w:pPr>
      <w:r>
        <w:rPr>
          <w:rFonts w:ascii="Times New Roman" w:hAnsi="Times New Roman" w:eastAsia="黑体"/>
          <w:b/>
          <w:color w:val="2C3E50"/>
          <w:sz w:val="28"/>
        </w:rPr>
        <w:t>6.5 一键快速配对</w:t>
      </w:r>
    </w:p>
    <w:p>
      <w:pPr>
        <w:spacing w:before="0" w:after="120" w:lineRule="exact" w:line="440"/>
        <w:ind w:firstLine="480"/>
      </w:pPr>
      <w:r>
        <w:rPr>
          <w:rFonts w:ascii="Times New Roman" w:hAnsi="Times New Roman" w:eastAsia="宋体"/>
          <w:b w:val="0"/>
          <w:color w:val="222222"/>
          <w:sz w:val="24"/>
        </w:rPr>
        <w:t>为方便本机调试，配对页面提供了「一键在本地生成配对码并授权」的快捷按钮。点击后系统会自动在本地 Agent 生成配对码并立即完成配对，无需手动输入。该功能适用于开发与演示场景。</w:t>
      </w:r>
    </w:p>
    <w:p>
      <w:pPr>
        <w:spacing w:before="240" w:after="160"/>
      </w:pPr>
      <w:r>
        <w:rPr>
          <w:rFonts w:ascii="Times New Roman" w:hAnsi="Times New Roman" w:eastAsia="黑体"/>
          <w:b/>
          <w:color w:val="2C3E50"/>
          <w:sz w:val="28"/>
        </w:rPr>
        <w:t>6.6 本地算力与依赖环境诊断</w:t>
      </w:r>
    </w:p>
    <w:p>
      <w:pPr>
        <w:spacing w:before="0" w:after="120" w:lineRule="exact" w:line="440"/>
        <w:ind w:firstLine="480"/>
      </w:pPr>
      <w:r>
        <w:rPr>
          <w:rFonts w:ascii="Times New Roman" w:hAnsi="Times New Roman" w:eastAsia="宋体"/>
          <w:b w:val="0"/>
          <w:color w:val="222222"/>
          <w:sz w:val="24"/>
        </w:rPr>
        <w:t>配对成功后，页面右侧会实时展示本地计算节点的硬件与依赖环境信息，包括操作系统、Python 版本、CPU 逻辑核心数、物理内存使用情况、GPU 型号与显存占用（若有），以及 scanpy、anndata、celltypist、scvi-tools、torch 等关键单细胞生信依赖包的安装版本。</w:t>
      </w:r>
    </w:p>
    <w:p>
      <w:pPr>
        <w:spacing w:before="160" w:after="40"/>
        <w:jc w:val="center"/>
      </w:pPr>
      <w:r>
        <w:drawing>
          <wp:inline xmlns:a="http://schemas.openxmlformats.org/drawingml/2006/main" xmlns:pic="http://schemas.openxmlformats.org/drawingml/2006/picture">
            <wp:extent cx="5040000" cy="3343200"/>
            <wp:docPr id="3" name="Picture 3"/>
            <wp:cNvGraphicFramePr>
              <a:graphicFrameLocks noChangeAspect="1"/>
            </wp:cNvGraphicFramePr>
            <a:graphic>
              <a:graphicData uri="http://schemas.openxmlformats.org/drawingml/2006/picture">
                <pic:pic>
                  <pic:nvPicPr>
                    <pic:cNvPr id="0" name="test-06-agent-paired-env.png"/>
                    <pic:cNvPicPr/>
                  </pic:nvPicPr>
                  <pic:blipFill>
                    <a:blip r:embed="rId11"/>
                    <a:stretch>
                      <a:fillRect/>
                    </a:stretch>
                  </pic:blipFill>
                  <pic:spPr>
                    <a:xfrm>
                      <a:off x="0" y="0"/>
                      <a:ext cx="5040000" cy="3343200"/>
                    </a:xfrm>
                    <a:prstGeom prst="rect"/>
                  </pic:spPr>
                </pic:pic>
              </a:graphicData>
            </a:graphic>
          </wp:inline>
        </w:drawing>
      </w:r>
    </w:p>
    <w:p>
      <w:pPr>
        <w:spacing w:after="240"/>
        <w:jc w:val="center"/>
      </w:pPr>
      <w:r>
        <w:rPr>
          <w:rFonts w:ascii="Times New Roman" w:hAnsi="Times New Roman" w:eastAsia="宋体"/>
          <w:b w:val="0"/>
          <w:color w:val="666666"/>
          <w:sz w:val="21"/>
        </w:rPr>
        <w:t>图 6-2　配对成功后的本地算力与依赖环境诊断</w:t>
      </w:r>
    </w:p>
    <w:p>
      <w:pPr>
        <w:spacing w:before="240" w:after="160"/>
      </w:pPr>
      <w:r>
        <w:rPr>
          <w:rFonts w:ascii="Times New Roman" w:hAnsi="Times New Roman" w:eastAsia="黑体"/>
          <w:b/>
          <w:color w:val="2C3E50"/>
          <w:sz w:val="28"/>
        </w:rPr>
        <w:t>6.7 解除配对</w:t>
      </w:r>
    </w:p>
    <w:p>
      <w:pPr>
        <w:spacing w:before="0" w:after="120" w:lineRule="exact" w:line="440"/>
        <w:ind w:firstLine="480"/>
      </w:pPr>
      <w:r>
        <w:rPr>
          <w:rFonts w:ascii="Times New Roman" w:hAnsi="Times New Roman" w:eastAsia="宋体"/>
          <w:b w:val="0"/>
          <w:color w:val="222222"/>
          <w:sz w:val="24"/>
        </w:rPr>
        <w:t>如需断开与本地节点的连接，可点击「解除节点配对授权」按钮。解除后会话令牌失效，需要重新配对才能继续使用本地计算功能。</w:t>
      </w:r>
    </w:p>
    <w:p>
      <w:pPr>
        <w:spacing w:before="240" w:after="160"/>
      </w:pPr>
      <w:r>
        <w:rPr>
          <w:rFonts w:ascii="Times New Roman" w:hAnsi="Times New Roman" w:eastAsia="黑体"/>
          <w:b/>
          <w:color w:val="2C3E50"/>
          <w:sz w:val="28"/>
        </w:rPr>
        <w:t>6.8 配对状态说明</w:t>
      </w:r>
    </w:p>
    <w:tbl>
      <w:tblPr>
        <w:tblStyle w:val="TableGrid"/>
        <w:tblW w:type="auto" w:w="0"/>
        <w:jc w:val="center"/>
        <w:tblLook w:firstColumn="1" w:firstRow="1" w:lastColumn="0" w:lastRow="0" w:noHBand="0" w:noVBand="1" w:val="04A0"/>
      </w:tblPr>
      <w:tblGrid>
        <w:gridCol w:w="4320"/>
        <w:gridCol w:w="4320"/>
      </w:tblGrid>
      <w:tr>
        <w:tc>
          <w:tcPr>
            <w:tcW w:type="dxa" w:w="2551"/>
            <w:shd w:val="clear" w:fill="2C3E50"/>
          </w:tcPr>
          <w:p>
            <w:pPr>
              <w:jc w:val="center"/>
            </w:pPr>
            <w:r/>
            <w:r>
              <w:rPr>
                <w:rFonts w:ascii="Times New Roman" w:hAnsi="Times New Roman" w:eastAsia="黑体"/>
                <w:b/>
                <w:color w:val="FFFFFF"/>
                <w:sz w:val="21"/>
              </w:rPr>
              <w:t>状态</w:t>
            </w:r>
          </w:p>
        </w:tc>
        <w:tc>
          <w:tcPr>
            <w:tcW w:type="dxa" w:w="6236"/>
            <w:shd w:val="clear" w:fill="2C3E50"/>
          </w:tcPr>
          <w:p>
            <w:pPr>
              <w:jc w:val="center"/>
            </w:pPr>
            <w:r/>
            <w:r>
              <w:rPr>
                <w:rFonts w:ascii="Times New Roman" w:hAnsi="Times New Roman" w:eastAsia="黑体"/>
                <w:b/>
                <w:color w:val="FFFFFF"/>
                <w:sz w:val="21"/>
              </w:rPr>
              <w:t>含义</w:t>
            </w:r>
          </w:p>
        </w:tc>
      </w:tr>
      <w:tr>
        <w:tc>
          <w:tcPr>
            <w:tcW w:type="dxa" w:w="2551"/>
          </w:tcPr>
          <w:p>
            <w:pPr>
              <w:spacing w:after="40" w:lineRule="exact" w:line="360"/>
            </w:pPr>
            <w:r/>
            <w:r>
              <w:rPr>
                <w:rFonts w:ascii="Times New Roman" w:hAnsi="Times New Roman" w:eastAsia="宋体"/>
                <w:b w:val="0"/>
                <w:color w:val="222222"/>
                <w:sz w:val="20"/>
              </w:rPr>
              <w:t>未检测到 Agent</w:t>
            </w:r>
          </w:p>
        </w:tc>
        <w:tc>
          <w:tcPr>
            <w:tcW w:type="dxa" w:w="6236"/>
          </w:tcPr>
          <w:p>
            <w:pPr>
              <w:spacing w:after="40" w:lineRule="exact" w:line="360"/>
            </w:pPr>
            <w:r/>
            <w:r>
              <w:rPr>
                <w:rFonts w:ascii="Times New Roman" w:hAnsi="Times New Roman" w:eastAsia="宋体"/>
                <w:b w:val="0"/>
                <w:color w:val="222222"/>
                <w:sz w:val="20"/>
              </w:rPr>
              <w:t>本地 Agent 服务未启动或端口不可达</w:t>
            </w:r>
          </w:p>
        </w:tc>
      </w:tr>
      <w:tr>
        <w:tc>
          <w:tcPr>
            <w:tcW w:type="dxa" w:w="2551"/>
          </w:tcPr>
          <w:p>
            <w:pPr>
              <w:spacing w:after="40" w:lineRule="exact" w:line="360"/>
            </w:pPr>
            <w:r/>
            <w:r>
              <w:rPr>
                <w:rFonts w:ascii="Times New Roman" w:hAnsi="Times New Roman" w:eastAsia="宋体"/>
                <w:b w:val="0"/>
                <w:color w:val="222222"/>
                <w:sz w:val="20"/>
              </w:rPr>
              <w:t>等待配对验证</w:t>
            </w:r>
          </w:p>
        </w:tc>
        <w:tc>
          <w:tcPr>
            <w:tcW w:type="dxa" w:w="6236"/>
          </w:tcPr>
          <w:p>
            <w:pPr>
              <w:spacing w:after="40" w:lineRule="exact" w:line="360"/>
            </w:pPr>
            <w:r/>
            <w:r>
              <w:rPr>
                <w:rFonts w:ascii="Times New Roman" w:hAnsi="Times New Roman" w:eastAsia="宋体"/>
                <w:b w:val="0"/>
                <w:color w:val="222222"/>
                <w:sz w:val="20"/>
              </w:rPr>
              <w:t>Agent 在线但尚未完成配对授权</w:t>
            </w:r>
          </w:p>
        </w:tc>
      </w:tr>
      <w:tr>
        <w:tc>
          <w:tcPr>
            <w:tcW w:type="dxa" w:w="2551"/>
          </w:tcPr>
          <w:p>
            <w:pPr>
              <w:spacing w:after="40" w:lineRule="exact" w:line="360"/>
            </w:pPr>
            <w:r/>
            <w:r>
              <w:rPr>
                <w:rFonts w:ascii="Times New Roman" w:hAnsi="Times New Roman" w:eastAsia="宋体"/>
                <w:b w:val="0"/>
                <w:color w:val="222222"/>
                <w:sz w:val="20"/>
              </w:rPr>
              <w:t>已授权配对</w:t>
            </w:r>
          </w:p>
        </w:tc>
        <w:tc>
          <w:tcPr>
            <w:tcW w:type="dxa" w:w="6236"/>
          </w:tcPr>
          <w:p>
            <w:pPr>
              <w:spacing w:after="40" w:lineRule="exact" w:line="360"/>
            </w:pPr>
            <w:r/>
            <w:r>
              <w:rPr>
                <w:rFonts w:ascii="Times New Roman" w:hAnsi="Times New Roman" w:eastAsia="宋体"/>
                <w:b w:val="0"/>
                <w:color w:val="222222"/>
                <w:sz w:val="20"/>
              </w:rPr>
              <w:t>配对成功，可正常下发本地计算任务</w:t>
            </w:r>
          </w:p>
        </w:tc>
      </w:tr>
    </w:tbl>
    <w:p>
      <w:pPr>
        <w:spacing w:after="160"/>
      </w:pPr>
    </w:p>
    <w:p>
      <w:r>
        <w:br w:type="page"/>
      </w:r>
    </w:p>
    <w:p>
      <w:pPr>
        <w:spacing w:before="120" w:after="280"/>
      </w:pPr>
      <w:r>
        <w:rPr>
          <w:rFonts w:ascii="Times New Roman" w:hAnsi="Times New Roman" w:eastAsia="黑体"/>
          <w:b/>
          <w:color w:val="1F3A5F"/>
          <w:sz w:val="36"/>
        </w:rPr>
        <w:t>第 7 章  首页控制台</w:t>
      </w:r>
    </w:p>
    <w:p>
      <w:pPr>
        <w:spacing w:before="240" w:after="160"/>
      </w:pPr>
      <w:r>
        <w:rPr>
          <w:rFonts w:ascii="Times New Roman" w:hAnsi="Times New Roman" w:eastAsia="黑体"/>
          <w:b/>
          <w:color w:val="2C3E50"/>
          <w:sz w:val="28"/>
        </w:rPr>
        <w:t>7.1 控制台概览</w:t>
      </w:r>
    </w:p>
    <w:p>
      <w:pPr>
        <w:spacing w:before="0" w:after="120" w:lineRule="exact" w:line="440"/>
        <w:ind w:firstLine="480"/>
      </w:pPr>
      <w:r>
        <w:rPr>
          <w:rFonts w:ascii="Times New Roman" w:hAnsi="Times New Roman" w:eastAsia="宋体"/>
          <w:b w:val="0"/>
          <w:color w:val="222222"/>
          <w:sz w:val="24"/>
        </w:rPr>
        <w:t>登录后默认进入首页控制台。控制台是系统的总览页面，顶部为欢迎横幅与「配对本地计算节点」快捷入口，中部为统计指标卡片，下方为评估流程说明。</w:t>
      </w:r>
    </w:p>
    <w:p>
      <w:pPr>
        <w:spacing w:before="160" w:after="40"/>
        <w:jc w:val="center"/>
      </w:pPr>
      <w:r>
        <w:drawing>
          <wp:inline xmlns:a="http://schemas.openxmlformats.org/drawingml/2006/main" xmlns:pic="http://schemas.openxmlformats.org/drawingml/2006/picture">
            <wp:extent cx="5220000" cy="3462600"/>
            <wp:docPr id="4" name="Picture 4"/>
            <wp:cNvGraphicFramePr>
              <a:graphicFrameLocks noChangeAspect="1"/>
            </wp:cNvGraphicFramePr>
            <a:graphic>
              <a:graphicData uri="http://schemas.openxmlformats.org/drawingml/2006/picture">
                <pic:pic>
                  <pic:nvPicPr>
                    <pic:cNvPr id="0" name="test-02-dashboard.png"/>
                    <pic:cNvPicPr/>
                  </pic:nvPicPr>
                  <pic:blipFill>
                    <a:blip r:embed="rId12"/>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7-1　首页控制台</w:t>
      </w:r>
    </w:p>
    <w:p>
      <w:pPr>
        <w:spacing w:before="240" w:after="160"/>
      </w:pPr>
      <w:r>
        <w:rPr>
          <w:rFonts w:ascii="Times New Roman" w:hAnsi="Times New Roman" w:eastAsia="黑体"/>
          <w:b/>
          <w:color w:val="2C3E50"/>
          <w:sz w:val="28"/>
        </w:rPr>
        <w:t>7.2 统计指标卡片</w:t>
      </w:r>
    </w:p>
    <w:p>
      <w:pPr>
        <w:spacing w:before="0" w:after="120" w:lineRule="exact" w:line="440"/>
        <w:ind w:firstLine="480"/>
      </w:pPr>
      <w:r>
        <w:rPr>
          <w:rFonts w:ascii="Times New Roman" w:hAnsi="Times New Roman" w:eastAsia="宋体"/>
          <w:b w:val="0"/>
          <w:color w:val="222222"/>
          <w:sz w:val="24"/>
        </w:rPr>
        <w:t>统计卡片实时展示系统中的关键数量指标，数据来自后端统计接口，包括：</w:t>
      </w:r>
    </w:p>
    <w:tbl>
      <w:tblPr>
        <w:tblStyle w:val="TableGrid"/>
        <w:tblW w:type="auto" w:w="0"/>
        <w:jc w:val="center"/>
        <w:tblLook w:firstColumn="1" w:firstRow="1" w:lastColumn="0" w:lastRow="0" w:noHBand="0" w:noVBand="1" w:val="04A0"/>
      </w:tblPr>
      <w:tblGrid>
        <w:gridCol w:w="4320"/>
        <w:gridCol w:w="4320"/>
      </w:tblGrid>
      <w:tr>
        <w:tc>
          <w:tcPr>
            <w:tcW w:type="dxa" w:w="2551"/>
            <w:shd w:val="clear" w:fill="2C3E50"/>
          </w:tcPr>
          <w:p>
            <w:pPr>
              <w:jc w:val="center"/>
            </w:pPr>
            <w:r/>
            <w:r>
              <w:rPr>
                <w:rFonts w:ascii="Times New Roman" w:hAnsi="Times New Roman" w:eastAsia="黑体"/>
                <w:b/>
                <w:color w:val="FFFFFF"/>
                <w:sz w:val="21"/>
              </w:rPr>
              <w:t>指标</w:t>
            </w:r>
          </w:p>
        </w:tc>
        <w:tc>
          <w:tcPr>
            <w:tcW w:type="dxa" w:w="6236"/>
            <w:shd w:val="clear" w:fill="2C3E50"/>
          </w:tcPr>
          <w:p>
            <w:pPr>
              <w:jc w:val="center"/>
            </w:pPr>
            <w:r/>
            <w:r>
              <w:rPr>
                <w:rFonts w:ascii="Times New Roman" w:hAnsi="Times New Roman" w:eastAsia="黑体"/>
                <w:b/>
                <w:color w:val="FFFFFF"/>
                <w:sz w:val="21"/>
              </w:rPr>
              <w:t>含义</w:t>
            </w:r>
          </w:p>
        </w:tc>
      </w:tr>
      <w:tr>
        <w:tc>
          <w:tcPr>
            <w:tcW w:type="dxa" w:w="2551"/>
          </w:tcPr>
          <w:p>
            <w:pPr>
              <w:spacing w:after="40" w:lineRule="exact" w:line="360"/>
            </w:pPr>
            <w:r/>
            <w:r>
              <w:rPr>
                <w:rFonts w:ascii="Times New Roman" w:hAnsi="Times New Roman" w:eastAsia="宋体"/>
                <w:b w:val="0"/>
                <w:color w:val="222222"/>
                <w:sz w:val="20"/>
              </w:rPr>
              <w:t>注册数据集</w:t>
            </w:r>
          </w:p>
        </w:tc>
        <w:tc>
          <w:tcPr>
            <w:tcW w:type="dxa" w:w="6236"/>
          </w:tcPr>
          <w:p>
            <w:pPr>
              <w:spacing w:after="40" w:lineRule="exact" w:line="360"/>
            </w:pPr>
            <w:r/>
            <w:r>
              <w:rPr>
                <w:rFonts w:ascii="Times New Roman" w:hAnsi="Times New Roman" w:eastAsia="宋体"/>
                <w:b w:val="0"/>
                <w:color w:val="222222"/>
                <w:sz w:val="20"/>
              </w:rPr>
              <w:t>已在平台注册的数据集数量</w:t>
            </w:r>
          </w:p>
        </w:tc>
      </w:tr>
      <w:tr>
        <w:tc>
          <w:tcPr>
            <w:tcW w:type="dxa" w:w="2551"/>
          </w:tcPr>
          <w:p>
            <w:pPr>
              <w:spacing w:after="40" w:lineRule="exact" w:line="360"/>
            </w:pPr>
            <w:r/>
            <w:r>
              <w:rPr>
                <w:rFonts w:ascii="Times New Roman" w:hAnsi="Times New Roman" w:eastAsia="宋体"/>
                <w:b w:val="0"/>
                <w:color w:val="222222"/>
                <w:sz w:val="20"/>
              </w:rPr>
              <w:t>配置实验主题</w:t>
            </w:r>
          </w:p>
        </w:tc>
        <w:tc>
          <w:tcPr>
            <w:tcW w:type="dxa" w:w="6236"/>
          </w:tcPr>
          <w:p>
            <w:pPr>
              <w:spacing w:after="40" w:lineRule="exact" w:line="360"/>
            </w:pPr>
            <w:r/>
            <w:r>
              <w:rPr>
                <w:rFonts w:ascii="Times New Roman" w:hAnsi="Times New Roman" w:eastAsia="宋体"/>
                <w:b w:val="0"/>
                <w:color w:val="222222"/>
                <w:sz w:val="20"/>
              </w:rPr>
              <w:t>已创建的实验数量</w:t>
            </w:r>
          </w:p>
        </w:tc>
      </w:tr>
      <w:tr>
        <w:tc>
          <w:tcPr>
            <w:tcW w:type="dxa" w:w="2551"/>
          </w:tcPr>
          <w:p>
            <w:pPr>
              <w:spacing w:after="40" w:lineRule="exact" w:line="360"/>
            </w:pPr>
            <w:r/>
            <w:r>
              <w:rPr>
                <w:rFonts w:ascii="Times New Roman" w:hAnsi="Times New Roman" w:eastAsia="宋体"/>
                <w:b w:val="0"/>
                <w:color w:val="222222"/>
                <w:sz w:val="20"/>
              </w:rPr>
              <w:t>已完成评估结果</w:t>
            </w:r>
          </w:p>
        </w:tc>
        <w:tc>
          <w:tcPr>
            <w:tcW w:type="dxa" w:w="6236"/>
          </w:tcPr>
          <w:p>
            <w:pPr>
              <w:spacing w:after="40" w:lineRule="exact" w:line="360"/>
            </w:pPr>
            <w:r/>
            <w:r>
              <w:rPr>
                <w:rFonts w:ascii="Times New Roman" w:hAnsi="Times New Roman" w:eastAsia="宋体"/>
                <w:b w:val="0"/>
                <w:color w:val="222222"/>
                <w:sz w:val="20"/>
              </w:rPr>
              <w:t>状态为成功的方法运行数量</w:t>
            </w:r>
          </w:p>
        </w:tc>
      </w:tr>
      <w:tr>
        <w:tc>
          <w:tcPr>
            <w:tcW w:type="dxa" w:w="2551"/>
          </w:tcPr>
          <w:p>
            <w:pPr>
              <w:spacing w:after="40" w:lineRule="exact" w:line="360"/>
            </w:pPr>
            <w:r/>
            <w:r>
              <w:rPr>
                <w:rFonts w:ascii="Times New Roman" w:hAnsi="Times New Roman" w:eastAsia="宋体"/>
                <w:b w:val="0"/>
                <w:color w:val="222222"/>
                <w:sz w:val="20"/>
              </w:rPr>
              <w:t>生成报告数</w:t>
            </w:r>
          </w:p>
        </w:tc>
        <w:tc>
          <w:tcPr>
            <w:tcW w:type="dxa" w:w="6236"/>
          </w:tcPr>
          <w:p>
            <w:pPr>
              <w:spacing w:after="40" w:lineRule="exact" w:line="360"/>
            </w:pPr>
            <w:r/>
            <w:r>
              <w:rPr>
                <w:rFonts w:ascii="Times New Roman" w:hAnsi="Times New Roman" w:eastAsia="宋体"/>
                <w:b w:val="0"/>
                <w:color w:val="222222"/>
                <w:sz w:val="20"/>
              </w:rPr>
              <w:t>已生成的评估报告数量</w:t>
            </w:r>
          </w:p>
        </w:tc>
      </w:tr>
    </w:tbl>
    <w:p>
      <w:pPr>
        <w:spacing w:after="160"/>
      </w:pPr>
    </w:p>
    <w:p>
      <w:pPr>
        <w:spacing w:before="240" w:after="160"/>
      </w:pPr>
      <w:r>
        <w:rPr>
          <w:rFonts w:ascii="Times New Roman" w:hAnsi="Times New Roman" w:eastAsia="黑体"/>
          <w:b/>
          <w:color w:val="2C3E50"/>
          <w:sz w:val="28"/>
        </w:rPr>
        <w:t>7.3 评估流程说明</w:t>
      </w:r>
    </w:p>
    <w:p>
      <w:pPr>
        <w:spacing w:before="0" w:after="120" w:lineRule="exact" w:line="440"/>
        <w:ind w:firstLine="480"/>
      </w:pPr>
      <w:r>
        <w:rPr>
          <w:rFonts w:ascii="Times New Roman" w:hAnsi="Times New Roman" w:eastAsia="宋体"/>
          <w:b w:val="0"/>
          <w:color w:val="222222"/>
          <w:sz w:val="24"/>
        </w:rPr>
        <w:t>控制台下方以流程节点的形式直观展示系统的标准使用流程：启动 Local Agent → 注册 H5AD 数据 → 配置评估实验 → 导入并运行计算 → 查看报告与对比。新用户可据此快速了解操作顺序。</w:t>
      </w:r>
    </w:p>
    <w:p>
      <w:r>
        <w:br w:type="page"/>
      </w:r>
    </w:p>
    <w:p>
      <w:pPr>
        <w:spacing w:before="120" w:after="280"/>
      </w:pPr>
      <w:r>
        <w:rPr>
          <w:rFonts w:ascii="Times New Roman" w:hAnsi="Times New Roman" w:eastAsia="黑体"/>
          <w:b/>
          <w:color w:val="1F3A5F"/>
          <w:sz w:val="36"/>
        </w:rPr>
        <w:t>第 8 章  数据集注册与管理</w:t>
      </w:r>
    </w:p>
    <w:p>
      <w:pPr>
        <w:spacing w:before="240" w:after="160"/>
      </w:pPr>
      <w:r>
        <w:rPr>
          <w:rFonts w:ascii="Times New Roman" w:hAnsi="Times New Roman" w:eastAsia="黑体"/>
          <w:b/>
          <w:color w:val="2C3E50"/>
          <w:sz w:val="28"/>
        </w:rPr>
        <w:t>8.1 数据集概念</w:t>
      </w:r>
    </w:p>
    <w:p>
      <w:pPr>
        <w:spacing w:before="0" w:after="120" w:lineRule="exact" w:line="440"/>
        <w:ind w:firstLine="480"/>
      </w:pPr>
      <w:r>
        <w:rPr>
          <w:rFonts w:ascii="Times New Roman" w:hAnsi="Times New Roman" w:eastAsia="宋体"/>
          <w:b w:val="0"/>
          <w:color w:val="222222"/>
          <w:sz w:val="24"/>
        </w:rPr>
        <w:t>数据集（Dataset）表示一个单细胞数据集的元数据记录。原始 .h5ad 文件默认保存在本地，平台仅保存数据集的摘要信息，包括数据集名称、本地文件路径、细胞数、基因数、obs 字段、var 字段、标签分布、稀有类候选等。</w:t>
      </w:r>
    </w:p>
    <w:p>
      <w:pPr>
        <w:spacing w:before="240" w:after="160"/>
      </w:pPr>
      <w:r>
        <w:rPr>
          <w:rFonts w:ascii="Times New Roman" w:hAnsi="Times New Roman" w:eastAsia="黑体"/>
          <w:b/>
          <w:color w:val="2C3E50"/>
          <w:sz w:val="28"/>
        </w:rPr>
        <w:t>8.2 检测 H5AD 数据结构</w:t>
      </w:r>
    </w:p>
    <w:p>
      <w:pPr>
        <w:spacing w:before="0" w:after="120" w:lineRule="exact" w:line="440"/>
        <w:ind w:firstLine="480"/>
      </w:pPr>
      <w:r>
        <w:rPr>
          <w:rFonts w:ascii="Times New Roman" w:hAnsi="Times New Roman" w:eastAsia="宋体"/>
          <w:b w:val="0"/>
          <w:color w:val="222222"/>
          <w:sz w:val="24"/>
        </w:rPr>
        <w:t>进入「数据集注册」页面，左侧为导入与注册表单，右侧为数据概览展示区。</w:t>
      </w:r>
    </w:p>
    <w:p>
      <w:pPr>
        <w:spacing w:before="160" w:after="40"/>
        <w:jc w:val="center"/>
      </w:pPr>
      <w:r>
        <w:drawing>
          <wp:inline xmlns:a="http://schemas.openxmlformats.org/drawingml/2006/main" xmlns:pic="http://schemas.openxmlformats.org/drawingml/2006/picture">
            <wp:extent cx="5220000" cy="3462600"/>
            <wp:docPr id="5" name="Picture 5"/>
            <wp:cNvGraphicFramePr>
              <a:graphicFrameLocks noChangeAspect="1"/>
            </wp:cNvGraphicFramePr>
            <a:graphic>
              <a:graphicData uri="http://schemas.openxmlformats.org/drawingml/2006/picture">
                <pic:pic>
                  <pic:nvPicPr>
                    <pic:cNvPr id="0" name="test-07-datasets.png"/>
                    <pic:cNvPicPr/>
                  </pic:nvPicPr>
                  <pic:blipFill>
                    <a:blip r:embed="rId13"/>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8-1　数据集注册页面初始状态</w:t>
      </w:r>
    </w:p>
    <w:p>
      <w:pPr>
        <w:spacing w:after="80" w:lineRule="exact" w:line="440"/>
        <w:ind w:left="480"/>
      </w:pPr>
      <w:r>
        <w:rPr>
          <w:rFonts w:ascii="Times New Roman" w:hAnsi="Times New Roman" w:eastAsia="黑体"/>
          <w:b/>
          <w:color w:val="1F3A5F"/>
          <w:sz w:val="24"/>
        </w:rPr>
        <w:t xml:space="preserve">步骤 1　</w:t>
      </w:r>
      <w:r>
        <w:rPr>
          <w:rFonts w:ascii="Times New Roman" w:hAnsi="Times New Roman" w:eastAsia="宋体"/>
          <w:b w:val="0"/>
          <w:color w:val="222222"/>
          <w:sz w:val="24"/>
        </w:rPr>
        <w:t>在「本地 H5AD 绝对路径」输入框中填入 .h5ad 文件的完整路径；</w:t>
      </w:r>
    </w:p>
    <w:p>
      <w:pPr>
        <w:spacing w:after="80" w:lineRule="exact" w:line="440"/>
        <w:ind w:left="480"/>
      </w:pPr>
      <w:r>
        <w:rPr>
          <w:rFonts w:ascii="Times New Roman" w:hAnsi="Times New Roman" w:eastAsia="黑体"/>
          <w:b/>
          <w:color w:val="1F3A5F"/>
          <w:sz w:val="24"/>
        </w:rPr>
        <w:t xml:space="preserve">步骤 2　</w:t>
      </w:r>
      <w:r>
        <w:rPr>
          <w:rFonts w:ascii="Times New Roman" w:hAnsi="Times New Roman" w:eastAsia="宋体"/>
          <w:b w:val="0"/>
          <w:color w:val="222222"/>
          <w:sz w:val="24"/>
        </w:rPr>
        <w:t>点击「检测 H5AD 数据结构」按钮；</w:t>
      </w:r>
    </w:p>
    <w:p>
      <w:pPr>
        <w:spacing w:after="80" w:lineRule="exact" w:line="440"/>
        <w:ind w:left="480"/>
      </w:pPr>
      <w:r>
        <w:rPr>
          <w:rFonts w:ascii="Times New Roman" w:hAnsi="Times New Roman" w:eastAsia="黑体"/>
          <w:b/>
          <w:color w:val="1F3A5F"/>
          <w:sz w:val="24"/>
        </w:rPr>
        <w:t xml:space="preserve">步骤 3　</w:t>
      </w:r>
      <w:r>
        <w:rPr>
          <w:rFonts w:ascii="Times New Roman" w:hAnsi="Times New Roman" w:eastAsia="宋体"/>
          <w:b w:val="0"/>
          <w:color w:val="222222"/>
          <w:sz w:val="24"/>
        </w:rPr>
        <w:t>Agent 以 backed 模式轻量读取文件，返回细胞数、基因数、obs 列与 var 列。</w:t>
      </w:r>
    </w:p>
    <w:p>
      <w:pPr>
        <w:spacing w:before="80" w:after="160" w:lineRule="exact" w:line="400"/>
        <w:ind w:left="360"/>
      </w:pPr>
      <w:r>
        <w:rPr>
          <w:rFonts w:ascii="Times New Roman" w:hAnsi="Times New Roman" w:eastAsia="黑体"/>
          <w:b/>
          <w:color w:val="B06000"/>
          <w:sz w:val="22"/>
        </w:rPr>
        <w:t>【提示】</w:t>
      </w:r>
      <w:r>
        <w:rPr>
          <w:rFonts w:ascii="Times New Roman" w:hAnsi="Times New Roman" w:eastAsia="宋体"/>
          <w:b w:val="0"/>
          <w:color w:val="666666"/>
          <w:sz w:val="22"/>
        </w:rPr>
        <w:t>页面提供「快速测试指引」，点击预置路径可一键填入本地测试数据集路径。</w:t>
      </w:r>
    </w:p>
    <w:p>
      <w:pPr>
        <w:spacing w:before="160" w:after="40"/>
        <w:jc w:val="center"/>
      </w:pPr>
      <w:r>
        <w:drawing>
          <wp:inline xmlns:a="http://schemas.openxmlformats.org/drawingml/2006/main" xmlns:pic="http://schemas.openxmlformats.org/drawingml/2006/picture">
            <wp:extent cx="5220000" cy="3462600"/>
            <wp:docPr id="6" name="Picture 6"/>
            <wp:cNvGraphicFramePr>
              <a:graphicFrameLocks noChangeAspect="1"/>
            </wp:cNvGraphicFramePr>
            <a:graphic>
              <a:graphicData uri="http://schemas.openxmlformats.org/drawingml/2006/picture">
                <pic:pic>
                  <pic:nvPicPr>
                    <pic:cNvPr id="0" name="test-08-dataset-inspect.png"/>
                    <pic:cNvPicPr/>
                  </pic:nvPicPr>
                  <pic:blipFill>
                    <a:blip r:embed="rId14"/>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8-2　H5AD 数据结构检测结果</w:t>
      </w:r>
    </w:p>
    <w:p>
      <w:pPr>
        <w:spacing w:before="240" w:after="160"/>
      </w:pPr>
      <w:r>
        <w:rPr>
          <w:rFonts w:ascii="Times New Roman" w:hAnsi="Times New Roman" w:eastAsia="黑体"/>
          <w:b/>
          <w:color w:val="2C3E50"/>
          <w:sz w:val="28"/>
        </w:rPr>
        <w:t>8.3 选择标签列与批次列</w:t>
      </w:r>
    </w:p>
    <w:p>
      <w:pPr>
        <w:spacing w:before="0" w:after="120" w:lineRule="exact" w:line="440"/>
        <w:ind w:firstLine="480"/>
      </w:pPr>
      <w:r>
        <w:rPr>
          <w:rFonts w:ascii="Times New Roman" w:hAnsi="Times New Roman" w:eastAsia="宋体"/>
          <w:b w:val="0"/>
          <w:color w:val="222222"/>
          <w:sz w:val="24"/>
        </w:rPr>
        <w:t>检测成功后，表单会展开字段绑定选项。请从 obs 列中选择真实细胞类型注释列（label_col），该列将作为评估时的真值标签；如有批次信息，可选择批次来源列（batch_col）。</w:t>
      </w:r>
    </w:p>
    <w:p>
      <w:pPr>
        <w:spacing w:before="240" w:after="160"/>
      </w:pPr>
      <w:r>
        <w:rPr>
          <w:rFonts w:ascii="Times New Roman" w:hAnsi="Times New Roman" w:eastAsia="黑体"/>
          <w:b/>
          <w:color w:val="2C3E50"/>
          <w:sz w:val="28"/>
        </w:rPr>
        <w:t>8.4 设置稀有细胞阈值</w:t>
      </w:r>
    </w:p>
    <w:p>
      <w:pPr>
        <w:spacing w:before="0" w:after="120" w:lineRule="exact" w:line="440"/>
        <w:ind w:firstLine="480"/>
      </w:pPr>
      <w:r>
        <w:rPr>
          <w:rFonts w:ascii="Times New Roman" w:hAnsi="Times New Roman" w:eastAsia="宋体"/>
          <w:b w:val="0"/>
          <w:color w:val="222222"/>
          <w:sz w:val="24"/>
        </w:rPr>
        <w:t>通过滑块设置稀有细胞定义阈值（默认 5%）。占比低于该阈值的细胞类型将被自动判定为稀有细胞候选类。该阈值可按数据特点调整，常用取值为 1%、3%、5%。</w:t>
      </w:r>
    </w:p>
    <w:p>
      <w:pPr>
        <w:spacing w:before="240" w:after="160"/>
      </w:pPr>
      <w:r>
        <w:rPr>
          <w:rFonts w:ascii="Times New Roman" w:hAnsi="Times New Roman" w:eastAsia="黑体"/>
          <w:b/>
          <w:color w:val="2C3E50"/>
          <w:sz w:val="28"/>
        </w:rPr>
        <w:t>8.5 注册数据集</w:t>
      </w:r>
    </w:p>
    <w:p>
      <w:pPr>
        <w:spacing w:before="0" w:after="120" w:lineRule="exact" w:line="440"/>
        <w:ind w:firstLine="480"/>
      </w:pPr>
      <w:r>
        <w:rPr>
          <w:rFonts w:ascii="Times New Roman" w:hAnsi="Times New Roman" w:eastAsia="宋体"/>
          <w:b w:val="0"/>
          <w:color w:val="222222"/>
          <w:sz w:val="24"/>
        </w:rPr>
        <w:t>填写数据集别名后，点击「分析标签分布并注册数据集」按钮。Agent 会统计标签分布、筛选稀有候选，并将摘要同步至 Web 平台完成注册。</w:t>
      </w:r>
    </w:p>
    <w:p>
      <w:pPr>
        <w:spacing w:before="240" w:after="160"/>
      </w:pPr>
      <w:r>
        <w:rPr>
          <w:rFonts w:ascii="Times New Roman" w:hAnsi="Times New Roman" w:eastAsia="黑体"/>
          <w:b/>
          <w:color w:val="2C3E50"/>
          <w:sz w:val="28"/>
        </w:rPr>
        <w:t>8.6 数据集概览与可视化</w:t>
      </w:r>
    </w:p>
    <w:p>
      <w:pPr>
        <w:spacing w:before="0" w:after="120" w:lineRule="exact" w:line="440"/>
        <w:ind w:firstLine="480"/>
      </w:pPr>
      <w:r>
        <w:rPr>
          <w:rFonts w:ascii="Times New Roman" w:hAnsi="Times New Roman" w:eastAsia="宋体"/>
          <w:b w:val="0"/>
          <w:color w:val="222222"/>
          <w:sz w:val="24"/>
        </w:rPr>
        <w:t>注册成功后，页面右侧展示数据集概览，包括细胞数、基因数、有效标签细胞数、无效标签比例、细胞类型分布柱状图，以及稀有细胞候选列表。</w:t>
      </w:r>
    </w:p>
    <w:p>
      <w:pPr>
        <w:spacing w:before="160" w:after="40"/>
        <w:jc w:val="center"/>
      </w:pPr>
      <w:r>
        <w:drawing>
          <wp:inline xmlns:a="http://schemas.openxmlformats.org/drawingml/2006/main" xmlns:pic="http://schemas.openxmlformats.org/drawingml/2006/picture">
            <wp:extent cx="5220000" cy="3462600"/>
            <wp:docPr id="7" name="Picture 7"/>
            <wp:cNvGraphicFramePr>
              <a:graphicFrameLocks noChangeAspect="1"/>
            </wp:cNvGraphicFramePr>
            <a:graphic>
              <a:graphicData uri="http://schemas.openxmlformats.org/drawingml/2006/picture">
                <pic:pic>
                  <pic:nvPicPr>
                    <pic:cNvPr id="0" name="test-10-dataset-result.png"/>
                    <pic:cNvPicPr/>
                  </pic:nvPicPr>
                  <pic:blipFill>
                    <a:blip r:embed="rId15"/>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8-3　数据集注册成功后的概览与分布可视化</w:t>
      </w:r>
    </w:p>
    <w:p>
      <w:pPr>
        <w:spacing w:before="240" w:after="160"/>
      </w:pPr>
      <w:r>
        <w:rPr>
          <w:rFonts w:ascii="Times New Roman" w:hAnsi="Times New Roman" w:eastAsia="黑体"/>
          <w:b/>
          <w:color w:val="2C3E50"/>
          <w:sz w:val="28"/>
        </w:rPr>
        <w:t>8.7 稀有细胞候选筛选</w:t>
      </w:r>
    </w:p>
    <w:p>
      <w:pPr>
        <w:spacing w:before="0" w:after="120" w:lineRule="exact" w:line="440"/>
        <w:ind w:firstLine="480"/>
      </w:pPr>
      <w:r>
        <w:rPr>
          <w:rFonts w:ascii="Times New Roman" w:hAnsi="Times New Roman" w:eastAsia="宋体"/>
          <w:b w:val="0"/>
          <w:color w:val="222222"/>
          <w:sz w:val="24"/>
        </w:rPr>
        <w:t>系统根据设定的阈值，自动列出所有占比低于阈值的细胞类型作为稀有候选，并展示其细胞数与占比。这些候选类将在后续创建稀有细胞识别实验时，作为可选的目标稀有类。</w:t>
      </w:r>
    </w:p>
    <w:p>
      <w:r>
        <w:br w:type="page"/>
      </w:r>
    </w:p>
    <w:p>
      <w:pPr>
        <w:spacing w:before="120" w:after="280"/>
      </w:pPr>
      <w:r>
        <w:rPr>
          <w:rFonts w:ascii="Times New Roman" w:hAnsi="Times New Roman" w:eastAsia="黑体"/>
          <w:b/>
          <w:color w:val="1F3A5F"/>
          <w:sz w:val="36"/>
        </w:rPr>
        <w:t>第 9 章  实验配置管理</w:t>
      </w:r>
    </w:p>
    <w:p>
      <w:pPr>
        <w:spacing w:before="240" w:after="160"/>
      </w:pPr>
      <w:r>
        <w:rPr>
          <w:rFonts w:ascii="Times New Roman" w:hAnsi="Times New Roman" w:eastAsia="黑体"/>
          <w:b/>
          <w:color w:val="2C3E50"/>
          <w:sz w:val="28"/>
        </w:rPr>
        <w:t>9.1 实验概念</w:t>
      </w:r>
    </w:p>
    <w:p>
      <w:pPr>
        <w:spacing w:before="0" w:after="120" w:lineRule="exact" w:line="440"/>
        <w:ind w:firstLine="480"/>
      </w:pPr>
      <w:r>
        <w:rPr>
          <w:rFonts w:ascii="Times New Roman" w:hAnsi="Times New Roman" w:eastAsia="宋体"/>
          <w:b w:val="0"/>
          <w:color w:val="222222"/>
          <w:sz w:val="24"/>
        </w:rPr>
        <w:t>实验（Experiment）表示同一数据集、同一标签列、同一评估设置下的一个评估主题。一个实验下可以聚合多个方法运行（method_run），从而进行多方法横向比较。实验本身不等于某个具体方法的一次运行。</w:t>
      </w:r>
    </w:p>
    <w:p>
      <w:pPr>
        <w:spacing w:before="240" w:after="160"/>
      </w:pPr>
      <w:r>
        <w:rPr>
          <w:rFonts w:ascii="Times New Roman" w:hAnsi="Times New Roman" w:eastAsia="黑体"/>
          <w:b/>
          <w:color w:val="2C3E50"/>
          <w:sz w:val="28"/>
        </w:rPr>
        <w:t>9.2 创建注释评估实验</w:t>
      </w:r>
    </w:p>
    <w:p>
      <w:pPr>
        <w:spacing w:before="0" w:after="120" w:lineRule="exact" w:line="440"/>
        <w:ind w:firstLine="480"/>
      </w:pPr>
      <w:r>
        <w:rPr>
          <w:rFonts w:ascii="Times New Roman" w:hAnsi="Times New Roman" w:eastAsia="宋体"/>
          <w:b w:val="0"/>
          <w:color w:val="222222"/>
          <w:sz w:val="24"/>
        </w:rPr>
        <w:t>进入「实验配置管理」页面，左侧为实验配置表单，右侧为已配置实验列表。</w:t>
      </w:r>
    </w:p>
    <w:p>
      <w:pPr>
        <w:spacing w:before="160" w:after="40"/>
        <w:jc w:val="center"/>
      </w:pPr>
      <w:r>
        <w:drawing>
          <wp:inline xmlns:a="http://schemas.openxmlformats.org/drawingml/2006/main" xmlns:pic="http://schemas.openxmlformats.org/drawingml/2006/picture">
            <wp:extent cx="5220000" cy="3462600"/>
            <wp:docPr id="8" name="Picture 8"/>
            <wp:cNvGraphicFramePr>
              <a:graphicFrameLocks noChangeAspect="1"/>
            </wp:cNvGraphicFramePr>
            <a:graphic>
              <a:graphicData uri="http://schemas.openxmlformats.org/drawingml/2006/picture">
                <pic:pic>
                  <pic:nvPicPr>
                    <pic:cNvPr id="0" name="test-11-experiments.png"/>
                    <pic:cNvPicPr/>
                  </pic:nvPicPr>
                  <pic:blipFill>
                    <a:blip r:embed="rId16"/>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9-1　实验配置管理页面</w:t>
      </w:r>
    </w:p>
    <w:p>
      <w:pPr>
        <w:spacing w:after="80" w:lineRule="exact" w:line="440"/>
        <w:ind w:left="480"/>
      </w:pPr>
      <w:r>
        <w:rPr>
          <w:rFonts w:ascii="Times New Roman" w:hAnsi="Times New Roman" w:eastAsia="黑体"/>
          <w:b/>
          <w:color w:val="1F3A5F"/>
          <w:sz w:val="24"/>
        </w:rPr>
        <w:t xml:space="preserve">步骤 1　</w:t>
      </w:r>
      <w:r>
        <w:rPr>
          <w:rFonts w:ascii="Times New Roman" w:hAnsi="Times New Roman" w:eastAsia="宋体"/>
          <w:b w:val="0"/>
          <w:color w:val="222222"/>
          <w:sz w:val="24"/>
        </w:rPr>
        <w:t>在「选择基准数据集」下拉框中选择已注册的数据集；</w:t>
      </w:r>
    </w:p>
    <w:p>
      <w:pPr>
        <w:spacing w:after="80" w:lineRule="exact" w:line="440"/>
        <w:ind w:left="480"/>
      </w:pPr>
      <w:r>
        <w:rPr>
          <w:rFonts w:ascii="Times New Roman" w:hAnsi="Times New Roman" w:eastAsia="黑体"/>
          <w:b/>
          <w:color w:val="1F3A5F"/>
          <w:sz w:val="24"/>
        </w:rPr>
        <w:t xml:space="preserve">步骤 2　</w:t>
      </w:r>
      <w:r>
        <w:rPr>
          <w:rFonts w:ascii="Times New Roman" w:hAnsi="Times New Roman" w:eastAsia="宋体"/>
          <w:b w:val="0"/>
          <w:color w:val="222222"/>
          <w:sz w:val="24"/>
        </w:rPr>
        <w:t>填写实验名称；</w:t>
      </w:r>
    </w:p>
    <w:p>
      <w:pPr>
        <w:spacing w:after="80" w:lineRule="exact" w:line="440"/>
        <w:ind w:left="480"/>
      </w:pPr>
      <w:r>
        <w:rPr>
          <w:rFonts w:ascii="Times New Roman" w:hAnsi="Times New Roman" w:eastAsia="黑体"/>
          <w:b/>
          <w:color w:val="1F3A5F"/>
          <w:sz w:val="24"/>
        </w:rPr>
        <w:t xml:space="preserve">步骤 3　</w:t>
      </w:r>
      <w:r>
        <w:rPr>
          <w:rFonts w:ascii="Times New Roman" w:hAnsi="Times New Roman" w:eastAsia="宋体"/>
          <w:b w:val="0"/>
          <w:color w:val="222222"/>
          <w:sz w:val="24"/>
        </w:rPr>
        <w:t>在「评估任务主要维度」中选择「细胞类型注释评估」；</w:t>
      </w:r>
    </w:p>
    <w:p>
      <w:pPr>
        <w:spacing w:after="80" w:lineRule="exact" w:line="440"/>
        <w:ind w:left="480"/>
      </w:pPr>
      <w:r>
        <w:rPr>
          <w:rFonts w:ascii="Times New Roman" w:hAnsi="Times New Roman" w:eastAsia="黑体"/>
          <w:b/>
          <w:color w:val="1F3A5F"/>
          <w:sz w:val="24"/>
        </w:rPr>
        <w:t xml:space="preserve">步骤 4　</w:t>
      </w:r>
      <w:r>
        <w:rPr>
          <w:rFonts w:ascii="Times New Roman" w:hAnsi="Times New Roman" w:eastAsia="宋体"/>
          <w:b w:val="0"/>
          <w:color w:val="222222"/>
          <w:sz w:val="24"/>
        </w:rPr>
        <w:t>点击「发布实验基准配置」完成创建。</w:t>
      </w:r>
    </w:p>
    <w:p>
      <w:pPr>
        <w:spacing w:before="160" w:after="40"/>
        <w:jc w:val="center"/>
      </w:pPr>
      <w:r>
        <w:drawing>
          <wp:inline xmlns:a="http://schemas.openxmlformats.org/drawingml/2006/main" xmlns:pic="http://schemas.openxmlformats.org/drawingml/2006/picture">
            <wp:extent cx="5220000" cy="3462600"/>
            <wp:docPr id="9" name="Picture 9"/>
            <wp:cNvGraphicFramePr>
              <a:graphicFrameLocks noChangeAspect="1"/>
            </wp:cNvGraphicFramePr>
            <a:graphic>
              <a:graphicData uri="http://schemas.openxmlformats.org/drawingml/2006/picture">
                <pic:pic>
                  <pic:nvPicPr>
                    <pic:cNvPr id="0" name="test-15-exp-label-col.png"/>
                    <pic:cNvPicPr/>
                  </pic:nvPicPr>
                  <pic:blipFill>
                    <a:blip r:embed="rId17"/>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9-2　选择数据集后显示绑定的标签列</w:t>
      </w:r>
    </w:p>
    <w:p>
      <w:pPr>
        <w:spacing w:before="240" w:after="160"/>
      </w:pPr>
      <w:r>
        <w:rPr>
          <w:rFonts w:ascii="Times New Roman" w:hAnsi="Times New Roman" w:eastAsia="黑体"/>
          <w:b/>
          <w:color w:val="2C3E50"/>
          <w:sz w:val="28"/>
        </w:rPr>
        <w:t>9.3 创建稀有细胞识别实验</w:t>
      </w:r>
    </w:p>
    <w:p>
      <w:pPr>
        <w:spacing w:before="0" w:after="120" w:lineRule="exact" w:line="440"/>
        <w:ind w:firstLine="480"/>
      </w:pPr>
      <w:r>
        <w:rPr>
          <w:rFonts w:ascii="Times New Roman" w:hAnsi="Times New Roman" w:eastAsia="宋体"/>
          <w:b w:val="0"/>
          <w:color w:val="222222"/>
          <w:sz w:val="24"/>
        </w:rPr>
        <w:t>若选择「稀有细胞识别评估」，表单会展开稀有专项设置，需要进一步选择稀有评估模式与目标稀有类。系统仅在目标稀有类下拉中展示该数据集占比低于阈值的候选类。</w:t>
      </w:r>
    </w:p>
    <w:p>
      <w:pPr>
        <w:spacing w:before="240" w:after="160"/>
      </w:pPr>
      <w:r>
        <w:rPr>
          <w:rFonts w:ascii="Times New Roman" w:hAnsi="Times New Roman" w:eastAsia="黑体"/>
          <w:b/>
          <w:color w:val="2C3E50"/>
          <w:sz w:val="28"/>
        </w:rPr>
        <w:t>9.4 Rare Mode 评估模式</w:t>
      </w:r>
    </w:p>
    <w:p>
      <w:pPr>
        <w:spacing w:before="0" w:after="120" w:lineRule="exact" w:line="440"/>
        <w:ind w:firstLine="480"/>
      </w:pPr>
      <w:r>
        <w:rPr>
          <w:rFonts w:ascii="Times New Roman" w:hAnsi="Times New Roman" w:eastAsia="宋体"/>
          <w:b w:val="0"/>
          <w:color w:val="222222"/>
          <w:sz w:val="24"/>
        </w:rPr>
        <w:t>系统支持三种稀有评估模式，适用于不同的评估目标：</w:t>
      </w:r>
    </w:p>
    <w:tbl>
      <w:tblPr>
        <w:tblStyle w:val="TableGrid"/>
        <w:tblW w:type="auto" w:w="0"/>
        <w:jc w:val="center"/>
        <w:tblLook w:firstColumn="1" w:firstRow="1" w:lastColumn="0" w:lastRow="0" w:noHBand="0" w:noVBand="1" w:val="04A0"/>
      </w:tblPr>
      <w:tblGrid>
        <w:gridCol w:w="2880"/>
        <w:gridCol w:w="2880"/>
        <w:gridCol w:w="2880"/>
      </w:tblGrid>
      <w:tr>
        <w:tc>
          <w:tcPr>
            <w:tcW w:type="dxa" w:w="2154"/>
            <w:shd w:val="clear" w:fill="2C3E50"/>
          </w:tcPr>
          <w:p>
            <w:pPr>
              <w:jc w:val="center"/>
            </w:pPr>
            <w:r/>
            <w:r>
              <w:rPr>
                <w:rFonts w:ascii="Times New Roman" w:hAnsi="Times New Roman" w:eastAsia="黑体"/>
                <w:b/>
                <w:color w:val="FFFFFF"/>
                <w:sz w:val="21"/>
              </w:rPr>
              <w:t>模式</w:t>
            </w:r>
          </w:p>
        </w:tc>
        <w:tc>
          <w:tcPr>
            <w:tcW w:type="dxa" w:w="3402"/>
            <w:shd w:val="clear" w:fill="2C3E50"/>
          </w:tcPr>
          <w:p>
            <w:pPr>
              <w:jc w:val="center"/>
            </w:pPr>
            <w:r/>
            <w:r>
              <w:rPr>
                <w:rFonts w:ascii="Times New Roman" w:hAnsi="Times New Roman" w:eastAsia="黑体"/>
                <w:b/>
                <w:color w:val="FFFFFF"/>
                <w:sz w:val="21"/>
              </w:rPr>
              <w:t>说明</w:t>
            </w:r>
          </w:p>
        </w:tc>
        <w:tc>
          <w:tcPr>
            <w:tcW w:type="dxa" w:w="3231"/>
            <w:shd w:val="clear" w:fill="2C3E50"/>
          </w:tcPr>
          <w:p>
            <w:pPr>
              <w:jc w:val="center"/>
            </w:pPr>
            <w:r/>
            <w:r>
              <w:rPr>
                <w:rFonts w:ascii="Times New Roman" w:hAnsi="Times New Roman" w:eastAsia="黑体"/>
                <w:b/>
                <w:color w:val="FFFFFF"/>
                <w:sz w:val="21"/>
              </w:rPr>
              <w:t>适用场景</w:t>
            </w:r>
          </w:p>
        </w:tc>
      </w:tr>
      <w:tr>
        <w:tc>
          <w:tcPr>
            <w:tcW w:type="dxa" w:w="2154"/>
          </w:tcPr>
          <w:p>
            <w:pPr>
              <w:spacing w:after="40" w:lineRule="exact" w:line="360"/>
            </w:pPr>
            <w:r/>
            <w:r>
              <w:rPr>
                <w:rFonts w:ascii="Times New Roman" w:hAnsi="Times New Roman" w:eastAsia="宋体"/>
                <w:b w:val="0"/>
                <w:color w:val="222222"/>
                <w:sz w:val="20"/>
              </w:rPr>
              <w:t>single_rare</w:t>
            </w:r>
          </w:p>
        </w:tc>
        <w:tc>
          <w:tcPr>
            <w:tcW w:type="dxa" w:w="3402"/>
          </w:tcPr>
          <w:p>
            <w:pPr>
              <w:spacing w:after="40" w:lineRule="exact" w:line="360"/>
            </w:pPr>
            <w:r/>
            <w:r>
              <w:rPr>
                <w:rFonts w:ascii="Times New Roman" w:hAnsi="Times New Roman" w:eastAsia="宋体"/>
                <w:b w:val="0"/>
                <w:color w:val="222222"/>
                <w:sz w:val="20"/>
              </w:rPr>
              <w:t>指定单一目标稀有类，按该类 vs 其余进行二分类评估</w:t>
            </w:r>
          </w:p>
        </w:tc>
        <w:tc>
          <w:tcPr>
            <w:tcW w:type="dxa" w:w="3231"/>
          </w:tcPr>
          <w:p>
            <w:pPr>
              <w:spacing w:after="40" w:lineRule="exact" w:line="360"/>
            </w:pPr>
            <w:r/>
            <w:r>
              <w:rPr>
                <w:rFonts w:ascii="Times New Roman" w:hAnsi="Times New Roman" w:eastAsia="宋体"/>
                <w:b w:val="0"/>
                <w:color w:val="222222"/>
                <w:sz w:val="20"/>
              </w:rPr>
              <w:t>ASDC vs 非 ASDC 等单一稀有类评估</w:t>
            </w:r>
          </w:p>
        </w:tc>
      </w:tr>
      <w:tr>
        <w:tc>
          <w:tcPr>
            <w:tcW w:type="dxa" w:w="2154"/>
          </w:tcPr>
          <w:p>
            <w:pPr>
              <w:spacing w:after="40" w:lineRule="exact" w:line="360"/>
            </w:pPr>
            <w:r/>
            <w:r>
              <w:rPr>
                <w:rFonts w:ascii="Times New Roman" w:hAnsi="Times New Roman" w:eastAsia="宋体"/>
                <w:b w:val="0"/>
                <w:color w:val="222222"/>
                <w:sz w:val="20"/>
              </w:rPr>
              <w:t>multi_rare_per_class</w:t>
            </w:r>
          </w:p>
        </w:tc>
        <w:tc>
          <w:tcPr>
            <w:tcW w:type="dxa" w:w="3402"/>
          </w:tcPr>
          <w:p>
            <w:pPr>
              <w:spacing w:after="40" w:lineRule="exact" w:line="360"/>
            </w:pPr>
            <w:r/>
            <w:r>
              <w:rPr>
                <w:rFonts w:ascii="Times New Roman" w:hAnsi="Times New Roman" w:eastAsia="宋体"/>
                <w:b w:val="0"/>
                <w:color w:val="222222"/>
                <w:sz w:val="20"/>
              </w:rPr>
              <w:t>对每个目标稀有类分别进行 one-vs-rest 评估并汇总</w:t>
            </w:r>
          </w:p>
        </w:tc>
        <w:tc>
          <w:tcPr>
            <w:tcW w:type="dxa" w:w="3231"/>
          </w:tcPr>
          <w:p>
            <w:pPr>
              <w:spacing w:after="40" w:lineRule="exact" w:line="360"/>
            </w:pPr>
            <w:r/>
            <w:r>
              <w:rPr>
                <w:rFonts w:ascii="Times New Roman" w:hAnsi="Times New Roman" w:eastAsia="宋体"/>
                <w:b w:val="0"/>
                <w:color w:val="222222"/>
                <w:sz w:val="20"/>
              </w:rPr>
              <w:t>需要分别评估多个稀有类的识别能力</w:t>
            </w:r>
          </w:p>
        </w:tc>
      </w:tr>
      <w:tr>
        <w:tc>
          <w:tcPr>
            <w:tcW w:type="dxa" w:w="2154"/>
          </w:tcPr>
          <w:p>
            <w:pPr>
              <w:spacing w:after="40" w:lineRule="exact" w:line="360"/>
            </w:pPr>
            <w:r/>
            <w:r>
              <w:rPr>
                <w:rFonts w:ascii="Times New Roman" w:hAnsi="Times New Roman" w:eastAsia="宋体"/>
                <w:b w:val="0"/>
                <w:color w:val="222222"/>
                <w:sz w:val="20"/>
              </w:rPr>
              <w:t>pooled_rare_vs_nonrare</w:t>
            </w:r>
          </w:p>
        </w:tc>
        <w:tc>
          <w:tcPr>
            <w:tcW w:type="dxa" w:w="3402"/>
          </w:tcPr>
          <w:p>
            <w:pPr>
              <w:spacing w:after="40" w:lineRule="exact" w:line="360"/>
            </w:pPr>
            <w:r/>
            <w:r>
              <w:rPr>
                <w:rFonts w:ascii="Times New Roman" w:hAnsi="Times New Roman" w:eastAsia="宋体"/>
                <w:b w:val="0"/>
                <w:color w:val="222222"/>
                <w:sz w:val="20"/>
              </w:rPr>
              <w:t>将所有目标稀有类合并为正样本进行评估</w:t>
            </w:r>
          </w:p>
        </w:tc>
        <w:tc>
          <w:tcPr>
            <w:tcW w:type="dxa" w:w="3231"/>
          </w:tcPr>
          <w:p>
            <w:pPr>
              <w:spacing w:after="40" w:lineRule="exact" w:line="360"/>
            </w:pPr>
            <w:r/>
            <w:r>
              <w:rPr>
                <w:rFonts w:ascii="Times New Roman" w:hAnsi="Times New Roman" w:eastAsia="宋体"/>
                <w:b w:val="0"/>
                <w:color w:val="222222"/>
                <w:sz w:val="20"/>
              </w:rPr>
              <w:t>评估整体稀有细胞发现能力</w:t>
            </w:r>
          </w:p>
        </w:tc>
      </w:tr>
    </w:tbl>
    <w:p>
      <w:pPr>
        <w:spacing w:after="160"/>
      </w:pPr>
    </w:p>
    <w:p>
      <w:pPr>
        <w:spacing w:before="80" w:after="160" w:lineRule="exact" w:line="400"/>
        <w:ind w:left="360"/>
      </w:pPr>
      <w:r>
        <w:rPr>
          <w:rFonts w:ascii="Times New Roman" w:hAnsi="Times New Roman" w:eastAsia="黑体"/>
          <w:b/>
          <w:color w:val="B06000"/>
          <w:sz w:val="22"/>
        </w:rPr>
        <w:t>【提示】</w:t>
      </w:r>
      <w:r>
        <w:rPr>
          <w:rFonts w:ascii="Times New Roman" w:hAnsi="Times New Roman" w:eastAsia="宋体"/>
          <w:b w:val="0"/>
          <w:color w:val="666666"/>
          <w:sz w:val="22"/>
        </w:rPr>
        <w:t>pooled 模式反映整体稀有细胞发现能力，不代表稀有细胞类型精细注释准确率。</w:t>
      </w:r>
    </w:p>
    <w:p>
      <w:pPr>
        <w:spacing w:before="240" w:after="160"/>
      </w:pPr>
      <w:r>
        <w:rPr>
          <w:rFonts w:ascii="Times New Roman" w:hAnsi="Times New Roman" w:eastAsia="黑体"/>
          <w:b/>
          <w:color w:val="2C3E50"/>
          <w:sz w:val="28"/>
        </w:rPr>
        <w:t>9.5 目标稀有类选择</w:t>
      </w:r>
    </w:p>
    <w:p>
      <w:pPr>
        <w:spacing w:before="0" w:after="120" w:lineRule="exact" w:line="440"/>
        <w:ind w:firstLine="480"/>
      </w:pPr>
      <w:r>
        <w:rPr>
          <w:rFonts w:ascii="Times New Roman" w:hAnsi="Times New Roman" w:eastAsia="宋体"/>
          <w:b w:val="0"/>
          <w:color w:val="222222"/>
          <w:sz w:val="24"/>
        </w:rPr>
        <w:t>在 multi_rare_per_class 与 pooled_rare_vs_nonrare 模式下，可从候选列表中多选目标稀有类，下拉项会显示每个类的占比，便于判断其稀有程度。</w:t>
      </w:r>
    </w:p>
    <w:p>
      <w:pPr>
        <w:spacing w:before="240" w:after="160"/>
      </w:pPr>
      <w:r>
        <w:rPr>
          <w:rFonts w:ascii="Times New Roman" w:hAnsi="Times New Roman" w:eastAsia="黑体"/>
          <w:b/>
          <w:color w:val="2C3E50"/>
          <w:sz w:val="28"/>
        </w:rPr>
        <w:t>9.6 实验列表管理</w:t>
      </w:r>
    </w:p>
    <w:p>
      <w:pPr>
        <w:spacing w:before="0" w:after="120" w:lineRule="exact" w:line="440"/>
        <w:ind w:firstLine="480"/>
      </w:pPr>
      <w:r>
        <w:rPr>
          <w:rFonts w:ascii="Times New Roman" w:hAnsi="Times New Roman" w:eastAsia="宋体"/>
          <w:b w:val="0"/>
          <w:color w:val="222222"/>
          <w:sz w:val="24"/>
        </w:rPr>
        <w:t>已创建的实验会展示在右侧的「平台活跃实验主题列表」中，列出实验名称、评估类型、绑定标签列及具体配置，便于后续在评估页面中选择。</w:t>
      </w:r>
    </w:p>
    <w:p>
      <w:pPr>
        <w:spacing w:before="160" w:after="40"/>
        <w:jc w:val="center"/>
      </w:pPr>
      <w:r>
        <w:drawing>
          <wp:inline xmlns:a="http://schemas.openxmlformats.org/drawingml/2006/main" xmlns:pic="http://schemas.openxmlformats.org/drawingml/2006/picture">
            <wp:extent cx="5220000" cy="3462600"/>
            <wp:docPr id="10" name="Picture 10"/>
            <wp:cNvGraphicFramePr>
              <a:graphicFrameLocks noChangeAspect="1"/>
            </wp:cNvGraphicFramePr>
            <a:graphic>
              <a:graphicData uri="http://schemas.openxmlformats.org/drawingml/2006/picture">
                <pic:pic>
                  <pic:nvPicPr>
                    <pic:cNvPr id="0" name="test-18-exp-list.png"/>
                    <pic:cNvPicPr/>
                  </pic:nvPicPr>
                  <pic:blipFill>
                    <a:blip r:embed="rId18"/>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9-3　已配置实验列表</w:t>
      </w:r>
    </w:p>
    <w:p>
      <w:r>
        <w:br w:type="page"/>
      </w:r>
    </w:p>
    <w:p>
      <w:pPr>
        <w:spacing w:before="120" w:after="280"/>
      </w:pPr>
      <w:r>
        <w:rPr>
          <w:rFonts w:ascii="Times New Roman" w:hAnsi="Times New Roman" w:eastAsia="黑体"/>
          <w:b/>
          <w:color w:val="1F3A5F"/>
          <w:sz w:val="36"/>
        </w:rPr>
        <w:t>第 10 章  方法评估与运行</w:t>
      </w:r>
    </w:p>
    <w:p>
      <w:pPr>
        <w:spacing w:before="240" w:after="160"/>
      </w:pPr>
      <w:r>
        <w:rPr>
          <w:rFonts w:ascii="Times New Roman" w:hAnsi="Times New Roman" w:eastAsia="黑体"/>
          <w:b/>
          <w:color w:val="2C3E50"/>
          <w:sz w:val="28"/>
        </w:rPr>
        <w:t>10.1 Method Run 概念</w:t>
      </w:r>
    </w:p>
    <w:p>
      <w:pPr>
        <w:spacing w:before="0" w:after="120" w:lineRule="exact" w:line="440"/>
        <w:ind w:firstLine="480"/>
      </w:pPr>
      <w:r>
        <w:rPr>
          <w:rFonts w:ascii="Times New Roman" w:hAnsi="Times New Roman" w:eastAsia="宋体"/>
          <w:b w:val="0"/>
          <w:color w:val="222222"/>
          <w:sz w:val="24"/>
        </w:rPr>
        <w:t>方法运行（Method Run）表示某个方法在某个实验下的一次结果导入或一次运行。例如「CellTypist 预测结果导入」「scANVI 预测结果导入」等。V1.0 通过导入预测结果 CSV 的方式接入各方法的输出。</w:t>
      </w:r>
    </w:p>
    <w:p>
      <w:pPr>
        <w:spacing w:before="240" w:after="160"/>
      </w:pPr>
      <w:r>
        <w:rPr>
          <w:rFonts w:ascii="Times New Roman" w:hAnsi="Times New Roman" w:eastAsia="黑体"/>
          <w:b/>
          <w:color w:val="2C3E50"/>
          <w:sz w:val="28"/>
        </w:rPr>
        <w:t>10.2 导入方法预测结果</w:t>
      </w:r>
    </w:p>
    <w:p>
      <w:pPr>
        <w:spacing w:before="0" w:after="120" w:lineRule="exact" w:line="440"/>
        <w:ind w:firstLine="480"/>
      </w:pPr>
      <w:r>
        <w:rPr>
          <w:rFonts w:ascii="Times New Roman" w:hAnsi="Times New Roman" w:eastAsia="宋体"/>
          <w:b w:val="0"/>
          <w:color w:val="222222"/>
          <w:sz w:val="24"/>
        </w:rPr>
        <w:t>进入「评估与对比」页面，先在顶部选择一个实验，页面随即展示该实验的方法导入区与对比区。</w:t>
      </w:r>
    </w:p>
    <w:p>
      <w:pPr>
        <w:spacing w:before="160" w:after="40"/>
        <w:jc w:val="center"/>
      </w:pPr>
      <w:r>
        <w:drawing>
          <wp:inline xmlns:a="http://schemas.openxmlformats.org/drawingml/2006/main" xmlns:pic="http://schemas.openxmlformats.org/drawingml/2006/picture">
            <wp:extent cx="5220000" cy="3462600"/>
            <wp:docPr id="11" name="Picture 11"/>
            <wp:cNvGraphicFramePr>
              <a:graphicFrameLocks noChangeAspect="1"/>
            </wp:cNvGraphicFramePr>
            <a:graphic>
              <a:graphicData uri="http://schemas.openxmlformats.org/drawingml/2006/picture">
                <pic:pic>
                  <pic:nvPicPr>
                    <pic:cNvPr id="0" name="test-19-evaluation-panel.png"/>
                    <pic:cNvPicPr/>
                  </pic:nvPicPr>
                  <pic:blipFill>
                    <a:blip r:embed="rId19"/>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10-1　评估与对比页面</w:t>
      </w:r>
    </w:p>
    <w:p>
      <w:pPr>
        <w:spacing w:after="80" w:lineRule="exact" w:line="440"/>
        <w:ind w:left="480"/>
      </w:pPr>
      <w:r>
        <w:rPr>
          <w:rFonts w:ascii="Times New Roman" w:hAnsi="Times New Roman" w:eastAsia="黑体"/>
          <w:b/>
          <w:color w:val="1F3A5F"/>
          <w:sz w:val="24"/>
        </w:rPr>
        <w:t xml:space="preserve">步骤 1　</w:t>
      </w:r>
      <w:r>
        <w:rPr>
          <w:rFonts w:ascii="Times New Roman" w:hAnsi="Times New Roman" w:eastAsia="宋体"/>
          <w:b w:val="0"/>
          <w:color w:val="222222"/>
          <w:sz w:val="24"/>
        </w:rPr>
        <w:t>在「评估方法名称」中填写方法名称（如 CellTypist）；</w:t>
      </w:r>
    </w:p>
    <w:p>
      <w:pPr>
        <w:spacing w:after="80" w:lineRule="exact" w:line="440"/>
        <w:ind w:left="480"/>
      </w:pPr>
      <w:r>
        <w:rPr>
          <w:rFonts w:ascii="Times New Roman" w:hAnsi="Times New Roman" w:eastAsia="黑体"/>
          <w:b/>
          <w:color w:val="1F3A5F"/>
          <w:sz w:val="24"/>
        </w:rPr>
        <w:t xml:space="preserve">步骤 2　</w:t>
      </w:r>
      <w:r>
        <w:rPr>
          <w:rFonts w:ascii="Times New Roman" w:hAnsi="Times New Roman" w:eastAsia="宋体"/>
          <w:b w:val="0"/>
          <w:color w:val="222222"/>
          <w:sz w:val="24"/>
        </w:rPr>
        <w:t>在「方法预测 CSV 文件绝对路径」中填入预测结果 CSV 的本地路径；</w:t>
      </w:r>
    </w:p>
    <w:p>
      <w:pPr>
        <w:spacing w:after="80" w:lineRule="exact" w:line="440"/>
        <w:ind w:left="480"/>
      </w:pPr>
      <w:r>
        <w:rPr>
          <w:rFonts w:ascii="Times New Roman" w:hAnsi="Times New Roman" w:eastAsia="黑体"/>
          <w:b/>
          <w:color w:val="1F3A5F"/>
          <w:sz w:val="24"/>
        </w:rPr>
        <w:t xml:space="preserve">步骤 3　</w:t>
      </w:r>
      <w:r>
        <w:rPr>
          <w:rFonts w:ascii="Times New Roman" w:hAnsi="Times New Roman" w:eastAsia="宋体"/>
          <w:b w:val="0"/>
          <w:color w:val="222222"/>
          <w:sz w:val="24"/>
        </w:rPr>
        <w:t>（稀有识别实验）如需计算 FRR 指标，可填写修正前基线 CSV 路径；</w:t>
      </w:r>
    </w:p>
    <w:p>
      <w:pPr>
        <w:spacing w:after="80" w:lineRule="exact" w:line="440"/>
        <w:ind w:left="480"/>
      </w:pPr>
      <w:r>
        <w:rPr>
          <w:rFonts w:ascii="Times New Roman" w:hAnsi="Times New Roman" w:eastAsia="黑体"/>
          <w:b/>
          <w:color w:val="1F3A5F"/>
          <w:sz w:val="24"/>
        </w:rPr>
        <w:t xml:space="preserve">步骤 4　</w:t>
      </w:r>
      <w:r>
        <w:rPr>
          <w:rFonts w:ascii="Times New Roman" w:hAnsi="Times New Roman" w:eastAsia="宋体"/>
          <w:b w:val="0"/>
          <w:color w:val="222222"/>
          <w:sz w:val="24"/>
        </w:rPr>
        <w:t>点击「提交并在本地节点运行评估」。</w:t>
      </w:r>
    </w:p>
    <w:p>
      <w:pPr>
        <w:spacing w:before="80" w:after="160" w:lineRule="exact" w:line="400"/>
        <w:ind w:left="360"/>
      </w:pPr>
      <w:r>
        <w:rPr>
          <w:rFonts w:ascii="Times New Roman" w:hAnsi="Times New Roman" w:eastAsia="黑体"/>
          <w:b/>
          <w:color w:val="B06000"/>
          <w:sz w:val="22"/>
        </w:rPr>
        <w:t>【提示】</w:t>
      </w:r>
      <w:r>
        <w:rPr>
          <w:rFonts w:ascii="Times New Roman" w:hAnsi="Times New Roman" w:eastAsia="宋体"/>
          <w:b w:val="0"/>
          <w:color w:val="666666"/>
          <w:sz w:val="22"/>
        </w:rPr>
        <w:t>页面提供「快速测试 CSV 路径」一键填入功能，便于使用预置测试数据。</w:t>
      </w:r>
    </w:p>
    <w:p>
      <w:pPr>
        <w:spacing w:before="240" w:after="160"/>
      </w:pPr>
      <w:r>
        <w:rPr>
          <w:rFonts w:ascii="Times New Roman" w:hAnsi="Times New Roman" w:eastAsia="黑体"/>
          <w:b/>
          <w:color w:val="2C3E50"/>
          <w:sz w:val="28"/>
        </w:rPr>
        <w:t>10.3 提交评估任务</w:t>
      </w:r>
    </w:p>
    <w:p>
      <w:pPr>
        <w:spacing w:before="0" w:after="120" w:lineRule="exact" w:line="440"/>
        <w:ind w:firstLine="480"/>
      </w:pPr>
      <w:r>
        <w:rPr>
          <w:rFonts w:ascii="Times New Roman" w:hAnsi="Times New Roman" w:eastAsia="宋体"/>
          <w:b w:val="0"/>
          <w:color w:val="222222"/>
          <w:sz w:val="24"/>
        </w:rPr>
        <w:t>提交后，Web 平台先创建方法运行记录，再将评估任务下发至本地 Agent。Agent 调用计算引擎执行 cell_id 对齐与指标计算，并生成结构化结果与 HTML 报告。</w:t>
      </w:r>
    </w:p>
    <w:p>
      <w:pPr>
        <w:spacing w:before="240" w:after="160"/>
      </w:pPr>
      <w:r>
        <w:rPr>
          <w:rFonts w:ascii="Times New Roman" w:hAnsi="Times New Roman" w:eastAsia="黑体"/>
          <w:b/>
          <w:color w:val="2C3E50"/>
          <w:sz w:val="28"/>
        </w:rPr>
        <w:t>10.4 任务队列与进度监控</w:t>
      </w:r>
    </w:p>
    <w:p>
      <w:pPr>
        <w:spacing w:before="0" w:after="120" w:lineRule="exact" w:line="440"/>
        <w:ind w:firstLine="480"/>
      </w:pPr>
      <w:r>
        <w:rPr>
          <w:rFonts w:ascii="Times New Roman" w:hAnsi="Times New Roman" w:eastAsia="宋体"/>
          <w:b w:val="0"/>
          <w:color w:val="222222"/>
          <w:sz w:val="24"/>
        </w:rPr>
        <w:t>任务提交后会出现在左侧「任务队列与同步」区域，实时显示任务状态（running/success/failed）与进度百分比。前端会自动轮询任务状态，任务完成后自动刷新对比排行榜并渲染图表。</w:t>
      </w:r>
    </w:p>
    <w:p>
      <w:pPr>
        <w:spacing w:before="160" w:after="40"/>
        <w:jc w:val="center"/>
      </w:pPr>
      <w:r>
        <w:drawing>
          <wp:inline xmlns:a="http://schemas.openxmlformats.org/drawingml/2006/main" xmlns:pic="http://schemas.openxmlformats.org/drawingml/2006/picture">
            <wp:extent cx="5220000" cy="3462600"/>
            <wp:docPr id="12" name="Picture 12"/>
            <wp:cNvGraphicFramePr>
              <a:graphicFrameLocks noChangeAspect="1"/>
            </wp:cNvGraphicFramePr>
            <a:graphic>
              <a:graphicData uri="http://schemas.openxmlformats.org/drawingml/2006/picture">
                <pic:pic>
                  <pic:nvPicPr>
                    <pic:cNvPr id="0" name="test-23-eval-running.png"/>
                    <pic:cNvPicPr/>
                  </pic:nvPicPr>
                  <pic:blipFill>
                    <a:blip r:embed="rId20"/>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10-2　评估完成后的任务状态与结果展示</w:t>
      </w:r>
    </w:p>
    <w:p>
      <w:pPr>
        <w:spacing w:before="240" w:after="160"/>
      </w:pPr>
      <w:r>
        <w:rPr>
          <w:rFonts w:ascii="Times New Roman" w:hAnsi="Times New Roman" w:eastAsia="黑体"/>
          <w:b/>
          <w:color w:val="2C3E50"/>
          <w:sz w:val="28"/>
        </w:rPr>
        <w:t>10.5 查看运行日志</w:t>
      </w:r>
    </w:p>
    <w:p>
      <w:pPr>
        <w:spacing w:before="0" w:after="120" w:lineRule="exact" w:line="440"/>
        <w:ind w:firstLine="480"/>
      </w:pPr>
      <w:r>
        <w:rPr>
          <w:rFonts w:ascii="Times New Roman" w:hAnsi="Times New Roman" w:eastAsia="宋体"/>
          <w:b w:val="0"/>
          <w:color w:val="222222"/>
          <w:sz w:val="24"/>
        </w:rPr>
        <w:t>在任务条目上点击「查看运行日志」，可弹出日志对话框，展示该任务在本地节点上的标准输出（stdout）与错误输出（stderr），便于排查问题。</w:t>
      </w:r>
    </w:p>
    <w:p>
      <w:pPr>
        <w:spacing w:before="240" w:after="160"/>
      </w:pPr>
      <w:r>
        <w:rPr>
          <w:rFonts w:ascii="Times New Roman" w:hAnsi="Times New Roman" w:eastAsia="黑体"/>
          <w:b/>
          <w:color w:val="2C3E50"/>
          <w:sz w:val="28"/>
        </w:rPr>
        <w:t>10.6 任务同步与取消</w:t>
      </w:r>
    </w:p>
    <w:p>
      <w:pPr>
        <w:spacing w:before="0" w:after="120" w:lineRule="exact" w:line="440"/>
        <w:ind w:firstLine="480"/>
      </w:pPr>
      <w:r>
        <w:rPr>
          <w:rFonts w:ascii="Times New Roman" w:hAnsi="Times New Roman" w:eastAsia="宋体"/>
          <w:b w:val="0"/>
          <w:color w:val="222222"/>
          <w:sz w:val="24"/>
        </w:rPr>
        <w:t>点击「同步进度」可手动向 Agent 拉取最新任务状态。对于尚在运行的任务，系统也支持取消操作；任务取消后状态变为 cancelled。</w:t>
      </w:r>
    </w:p>
    <w:p>
      <w:r>
        <w:br w:type="page"/>
      </w:r>
    </w:p>
    <w:p>
      <w:pPr>
        <w:spacing w:before="120" w:after="280"/>
      </w:pPr>
      <w:r>
        <w:rPr>
          <w:rFonts w:ascii="Times New Roman" w:hAnsi="Times New Roman" w:eastAsia="黑体"/>
          <w:b/>
          <w:color w:val="1F3A5F"/>
          <w:sz w:val="36"/>
        </w:rPr>
        <w:t>第 11 章  多方法对比分析</w:t>
      </w:r>
    </w:p>
    <w:p>
      <w:pPr>
        <w:spacing w:before="240" w:after="160"/>
      </w:pPr>
      <w:r>
        <w:rPr>
          <w:rFonts w:ascii="Times New Roman" w:hAnsi="Times New Roman" w:eastAsia="黑体"/>
          <w:b/>
          <w:color w:val="2C3E50"/>
          <w:sz w:val="28"/>
        </w:rPr>
        <w:t>11.1 多方法对比概念</w:t>
      </w:r>
    </w:p>
    <w:p>
      <w:pPr>
        <w:spacing w:before="0" w:after="120" w:lineRule="exact" w:line="440"/>
        <w:ind w:firstLine="480"/>
      </w:pPr>
      <w:r>
        <w:rPr>
          <w:rFonts w:ascii="Times New Roman" w:hAnsi="Times New Roman" w:eastAsia="宋体"/>
          <w:b w:val="0"/>
          <w:color w:val="222222"/>
          <w:sz w:val="24"/>
        </w:rPr>
        <w:t>多方法对比是 scAnnoRare 的核心能力之一。在同一实验下，用户可以添加多个方法运行，系统对各方法采用统一的指标口径进行计算，并在对比排行榜中并排展示、排序与比较。</w:t>
      </w:r>
    </w:p>
    <w:p>
      <w:pPr>
        <w:spacing w:before="240" w:after="160"/>
      </w:pPr>
      <w:r>
        <w:rPr>
          <w:rFonts w:ascii="Times New Roman" w:hAnsi="Times New Roman" w:eastAsia="黑体"/>
          <w:b/>
          <w:color w:val="2C3E50"/>
          <w:sz w:val="28"/>
        </w:rPr>
        <w:t>11.2 对比排行榜</w:t>
      </w:r>
    </w:p>
    <w:p>
      <w:pPr>
        <w:spacing w:before="0" w:after="120" w:lineRule="exact" w:line="440"/>
        <w:ind w:firstLine="480"/>
      </w:pPr>
      <w:r>
        <w:rPr>
          <w:rFonts w:ascii="Times New Roman" w:hAnsi="Times New Roman" w:eastAsia="宋体"/>
          <w:b w:val="0"/>
          <w:color w:val="222222"/>
          <w:sz w:val="24"/>
        </w:rPr>
        <w:t>右侧「多方法指标横向对比与排序」区域以表格形式展示各方法的评估指标，包括 Accuracy、Macro-F1、Rare-F1、AUPRC、AUROC 等。排名前三的方法会以特殊的奖牌样式标识。</w:t>
      </w:r>
    </w:p>
    <w:p>
      <w:pPr>
        <w:spacing w:before="240" w:after="160"/>
      </w:pPr>
      <w:r>
        <w:rPr>
          <w:rFonts w:ascii="Times New Roman" w:hAnsi="Times New Roman" w:eastAsia="黑体"/>
          <w:b/>
          <w:color w:val="2C3E50"/>
          <w:sz w:val="28"/>
        </w:rPr>
        <w:t>11.3 指标排序</w:t>
      </w:r>
    </w:p>
    <w:p>
      <w:pPr>
        <w:spacing w:before="0" w:after="120" w:lineRule="exact" w:line="440"/>
        <w:ind w:firstLine="480"/>
      </w:pPr>
      <w:r>
        <w:rPr>
          <w:rFonts w:ascii="Times New Roman" w:hAnsi="Times New Roman" w:eastAsia="宋体"/>
          <w:b w:val="0"/>
          <w:color w:val="222222"/>
          <w:sz w:val="24"/>
        </w:rPr>
        <w:t>通过「排序依据」下拉框，可按 Accuracy、Macro-F1、Rare-F1、AUPRC、AUROC 等任一指标对方法进行降序排列。当某指标对某方法不可计算时，显示为 N/A，且不会被当作 0 参与排序。</w:t>
      </w:r>
    </w:p>
    <w:p>
      <w:pPr>
        <w:spacing w:before="240" w:after="160"/>
      </w:pPr>
      <w:r>
        <w:rPr>
          <w:rFonts w:ascii="Times New Roman" w:hAnsi="Times New Roman" w:eastAsia="黑体"/>
          <w:b/>
          <w:color w:val="2C3E50"/>
          <w:sz w:val="28"/>
        </w:rPr>
        <w:t>11.4 交互式图表重绘</w:t>
      </w:r>
    </w:p>
    <w:p>
      <w:pPr>
        <w:spacing w:before="0" w:after="120" w:lineRule="exact" w:line="440"/>
        <w:ind w:firstLine="480"/>
      </w:pPr>
      <w:r>
        <w:rPr>
          <w:rFonts w:ascii="Times New Roman" w:hAnsi="Times New Roman" w:eastAsia="宋体"/>
          <w:b w:val="0"/>
          <w:color w:val="222222"/>
          <w:sz w:val="24"/>
        </w:rPr>
        <w:t>在排行榜中点击某个方法的「图表」按钮，系统会拉取该方法的结构化结果，并使用 ECharts 在下方进行交互式图表重绘，同时展示该方法的指标汇总卡片。</w:t>
      </w:r>
    </w:p>
    <w:p>
      <w:pPr>
        <w:spacing w:before="240" w:after="160"/>
      </w:pPr>
      <w:r>
        <w:rPr>
          <w:rFonts w:ascii="Times New Roman" w:hAnsi="Times New Roman" w:eastAsia="黑体"/>
          <w:b/>
          <w:color w:val="2C3E50"/>
          <w:sz w:val="28"/>
        </w:rPr>
        <w:t>11.5 混淆矩阵</w:t>
      </w:r>
    </w:p>
    <w:p>
      <w:pPr>
        <w:spacing w:before="0" w:after="120" w:lineRule="exact" w:line="440"/>
        <w:ind w:firstLine="480"/>
      </w:pPr>
      <w:r>
        <w:rPr>
          <w:rFonts w:ascii="Times New Roman" w:hAnsi="Times New Roman" w:eastAsia="宋体"/>
          <w:b w:val="0"/>
          <w:color w:val="222222"/>
          <w:sz w:val="24"/>
        </w:rPr>
        <w:t>对于细胞类型注释评估，交互式图表展示混淆矩阵热图，横轴为预测类别、纵轴为真实类别，颜色深浅表示对应的细胞数量，鼠标悬停可查看具体数值。</w:t>
      </w:r>
    </w:p>
    <w:p>
      <w:pPr>
        <w:spacing w:before="240" w:after="160"/>
      </w:pPr>
      <w:r>
        <w:rPr>
          <w:rFonts w:ascii="Times New Roman" w:hAnsi="Times New Roman" w:eastAsia="黑体"/>
          <w:b/>
          <w:color w:val="2C3E50"/>
          <w:sz w:val="28"/>
        </w:rPr>
        <w:t>11.6 ROC / PR 曲线</w:t>
      </w:r>
    </w:p>
    <w:p>
      <w:pPr>
        <w:spacing w:before="0" w:after="120" w:lineRule="exact" w:line="440"/>
        <w:ind w:firstLine="480"/>
      </w:pPr>
      <w:r>
        <w:rPr>
          <w:rFonts w:ascii="Times New Roman" w:hAnsi="Times New Roman" w:eastAsia="宋体"/>
          <w:b w:val="0"/>
          <w:color w:val="222222"/>
          <w:sz w:val="24"/>
        </w:rPr>
        <w:t>对于稀有细胞识别评估，若预测结果包含连续稀有得分（rare_score），系统会绘制 ROC 曲线与 PR 曲线，用于评估稀有细胞识别的整体判别能力。</w:t>
      </w:r>
    </w:p>
    <w:p>
      <w:r>
        <w:br w:type="page"/>
      </w:r>
    </w:p>
    <w:p>
      <w:pPr>
        <w:spacing w:before="120" w:after="280"/>
      </w:pPr>
      <w:r>
        <w:rPr>
          <w:rFonts w:ascii="Times New Roman" w:hAnsi="Times New Roman" w:eastAsia="黑体"/>
          <w:b/>
          <w:color w:val="1F3A5F"/>
          <w:sz w:val="36"/>
        </w:rPr>
        <w:t>第 12 章  报告中心</w:t>
      </w:r>
    </w:p>
    <w:p>
      <w:pPr>
        <w:spacing w:before="240" w:after="160"/>
      </w:pPr>
      <w:r>
        <w:rPr>
          <w:rFonts w:ascii="Times New Roman" w:hAnsi="Times New Roman" w:eastAsia="黑体"/>
          <w:b/>
          <w:color w:val="2C3E50"/>
          <w:sz w:val="28"/>
        </w:rPr>
        <w:t>12.1 报告概念</w:t>
      </w:r>
    </w:p>
    <w:p>
      <w:pPr>
        <w:spacing w:before="0" w:after="120" w:lineRule="exact" w:line="440"/>
        <w:ind w:firstLine="480"/>
      </w:pPr>
      <w:r>
        <w:rPr>
          <w:rFonts w:ascii="Times New Roman" w:hAnsi="Times New Roman" w:eastAsia="宋体"/>
          <w:b w:val="0"/>
          <w:color w:val="222222"/>
          <w:sz w:val="24"/>
        </w:rPr>
        <w:t>每个成功完成的方法运行都会生成一份 HTML 评估报告。报告由本地计算引擎生成，内嵌可视化图表，为自包含的单文件 HTML，可在线查看，也可下载归档。</w:t>
      </w:r>
    </w:p>
    <w:p>
      <w:pPr>
        <w:spacing w:before="240" w:after="160"/>
      </w:pPr>
      <w:r>
        <w:rPr>
          <w:rFonts w:ascii="Times New Roman" w:hAnsi="Times New Roman" w:eastAsia="黑体"/>
          <w:b/>
          <w:color w:val="2C3E50"/>
          <w:sz w:val="28"/>
        </w:rPr>
        <w:t>12.2 报告列表</w:t>
      </w:r>
    </w:p>
    <w:p>
      <w:pPr>
        <w:spacing w:before="0" w:after="120" w:lineRule="exact" w:line="440"/>
        <w:ind w:firstLine="480"/>
      </w:pPr>
      <w:r>
        <w:rPr>
          <w:rFonts w:ascii="Times New Roman" w:hAnsi="Times New Roman" w:eastAsia="宋体"/>
          <w:b w:val="0"/>
          <w:color w:val="222222"/>
          <w:sz w:val="24"/>
        </w:rPr>
        <w:t>进入「报告中心」页面，以卡片形式展示所有评估报告。每张卡片显示方法名称、所属实验、关键指标（Accuracy、Macro-F1、Rare-F1、AUROC 等）与生成时间，并提供操作按钮。顶部支持按实验筛选报告。</w:t>
      </w:r>
    </w:p>
    <w:p>
      <w:pPr>
        <w:spacing w:before="160" w:after="40"/>
        <w:jc w:val="center"/>
      </w:pPr>
      <w:r>
        <w:drawing>
          <wp:inline xmlns:a="http://schemas.openxmlformats.org/drawingml/2006/main" xmlns:pic="http://schemas.openxmlformats.org/drawingml/2006/picture">
            <wp:extent cx="5220000" cy="3462600"/>
            <wp:docPr id="13" name="Picture 13"/>
            <wp:cNvGraphicFramePr>
              <a:graphicFrameLocks noChangeAspect="1"/>
            </wp:cNvGraphicFramePr>
            <a:graphic>
              <a:graphicData uri="http://schemas.openxmlformats.org/drawingml/2006/picture">
                <pic:pic>
                  <pic:nvPicPr>
                    <pic:cNvPr id="0" name="test-24-reports.png"/>
                    <pic:cNvPicPr/>
                  </pic:nvPicPr>
                  <pic:blipFill>
                    <a:blip r:embed="rId21"/>
                    <a:stretch>
                      <a:fillRect/>
                    </a:stretch>
                  </pic:blipFill>
                  <pic:spPr>
                    <a:xfrm>
                      <a:off x="0" y="0"/>
                      <a:ext cx="5220000" cy="3462600"/>
                    </a:xfrm>
                    <a:prstGeom prst="rect"/>
                  </pic:spPr>
                </pic:pic>
              </a:graphicData>
            </a:graphic>
          </wp:inline>
        </w:drawing>
      </w:r>
    </w:p>
    <w:p>
      <w:pPr>
        <w:spacing w:after="240"/>
        <w:jc w:val="center"/>
      </w:pPr>
      <w:r>
        <w:rPr>
          <w:rFonts w:ascii="Times New Roman" w:hAnsi="Times New Roman" w:eastAsia="宋体"/>
          <w:b w:val="0"/>
          <w:color w:val="666666"/>
          <w:sz w:val="21"/>
        </w:rPr>
        <w:t>图 12-1　报告中心</w:t>
      </w:r>
    </w:p>
    <w:p>
      <w:pPr>
        <w:spacing w:before="240" w:after="160"/>
      </w:pPr>
      <w:r>
        <w:rPr>
          <w:rFonts w:ascii="Times New Roman" w:hAnsi="Times New Roman" w:eastAsia="黑体"/>
          <w:b/>
          <w:color w:val="2C3E50"/>
          <w:sz w:val="28"/>
        </w:rPr>
        <w:t>12.3 在线查看报告</w:t>
      </w:r>
    </w:p>
    <w:p>
      <w:pPr>
        <w:spacing w:before="0" w:after="120" w:lineRule="exact" w:line="440"/>
        <w:ind w:firstLine="480"/>
      </w:pPr>
      <w:r>
        <w:rPr>
          <w:rFonts w:ascii="Times New Roman" w:hAnsi="Times New Roman" w:eastAsia="宋体"/>
          <w:b w:val="0"/>
          <w:color w:val="222222"/>
          <w:sz w:val="24"/>
        </w:rPr>
        <w:t>点击报告卡片上的「在线查看报告」按钮，系统会在新标签页中打开该 HTML 报告。报告通过 Web 后端代理获取，自动携带访问凭证，无需手动认证。</w:t>
      </w:r>
    </w:p>
    <w:p>
      <w:pPr>
        <w:spacing w:before="160" w:after="40"/>
        <w:jc w:val="center"/>
      </w:pPr>
      <w:r>
        <w:drawing>
          <wp:inline xmlns:a="http://schemas.openxmlformats.org/drawingml/2006/main" xmlns:pic="http://schemas.openxmlformats.org/drawingml/2006/picture">
            <wp:extent cx="4140000" cy="7616977"/>
            <wp:docPr id="14" name="Picture 14"/>
            <wp:cNvGraphicFramePr>
              <a:graphicFrameLocks noChangeAspect="1"/>
            </wp:cNvGraphicFramePr>
            <a:graphic>
              <a:graphicData uri="http://schemas.openxmlformats.org/drawingml/2006/picture">
                <pic:pic>
                  <pic:nvPicPr>
                    <pic:cNvPr id="0" name="test-28-report-final.png"/>
                    <pic:cNvPicPr/>
                  </pic:nvPicPr>
                  <pic:blipFill>
                    <a:blip r:embed="rId22"/>
                    <a:stretch>
                      <a:fillRect/>
                    </a:stretch>
                  </pic:blipFill>
                  <pic:spPr>
                    <a:xfrm>
                      <a:off x="0" y="0"/>
                      <a:ext cx="4140000" cy="7616977"/>
                    </a:xfrm>
                    <a:prstGeom prst="rect"/>
                  </pic:spPr>
                </pic:pic>
              </a:graphicData>
            </a:graphic>
          </wp:inline>
        </w:drawing>
      </w:r>
    </w:p>
    <w:p>
      <w:pPr>
        <w:spacing w:after="240"/>
        <w:jc w:val="center"/>
      </w:pPr>
      <w:r>
        <w:rPr>
          <w:rFonts w:ascii="Times New Roman" w:hAnsi="Times New Roman" w:eastAsia="宋体"/>
          <w:b w:val="0"/>
          <w:color w:val="666666"/>
          <w:sz w:val="21"/>
        </w:rPr>
        <w:t>图 12-2　HTML 评估报告（含混淆矩阵图表）</w:t>
      </w:r>
    </w:p>
    <w:p>
      <w:pPr>
        <w:spacing w:before="240" w:after="160"/>
      </w:pPr>
      <w:r>
        <w:rPr>
          <w:rFonts w:ascii="Times New Roman" w:hAnsi="Times New Roman" w:eastAsia="黑体"/>
          <w:b/>
          <w:color w:val="2C3E50"/>
          <w:sz w:val="28"/>
        </w:rPr>
        <w:t>12.4 下载报告</w:t>
      </w:r>
    </w:p>
    <w:p>
      <w:pPr>
        <w:spacing w:before="0" w:after="120" w:lineRule="exact" w:line="440"/>
        <w:ind w:firstLine="480"/>
      </w:pPr>
      <w:r>
        <w:rPr>
          <w:rFonts w:ascii="Times New Roman" w:hAnsi="Times New Roman" w:eastAsia="宋体"/>
          <w:b w:val="0"/>
          <w:color w:val="222222"/>
          <w:sz w:val="24"/>
        </w:rPr>
        <w:t>点击「下载 HTML」按钮，可将报告以 .html 文件形式保存到本地。由于报告中的图表已内嵌为 base64 数据，下载后的报告可离线打开，图表正常显示。</w:t>
      </w:r>
    </w:p>
    <w:p>
      <w:pPr>
        <w:spacing w:before="240" w:after="160"/>
      </w:pPr>
      <w:r>
        <w:rPr>
          <w:rFonts w:ascii="Times New Roman" w:hAnsi="Times New Roman" w:eastAsia="黑体"/>
          <w:b/>
          <w:color w:val="2C3E50"/>
          <w:sz w:val="28"/>
        </w:rPr>
        <w:t>12.5 报告内容结构</w:t>
      </w:r>
    </w:p>
    <w:p>
      <w:pPr>
        <w:spacing w:before="0" w:after="120" w:lineRule="exact" w:line="440"/>
        <w:ind w:firstLine="480"/>
      </w:pPr>
      <w:r>
        <w:rPr>
          <w:rFonts w:ascii="Times New Roman" w:hAnsi="Times New Roman" w:eastAsia="宋体"/>
          <w:b w:val="0"/>
          <w:color w:val="222222"/>
          <w:sz w:val="24"/>
        </w:rPr>
        <w:t>一份单方法评估报告通常包含以下内容：</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实验基本信息：评估方法、任务类型、数据配对率、评估时间；</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整体评估指标：Accuracy、Balanced Accuracy、Macro-F1、Weighted-F1 等；</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分类详细指标：各细胞类型的精确率、召回率、F1 分数与细胞数；</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可视化图表：混淆矩阵热图，或稀有识别的 ROC/PR 曲线。</w:t>
      </w:r>
    </w:p>
    <w:p>
      <w:r>
        <w:br w:type="page"/>
      </w:r>
    </w:p>
    <w:p>
      <w:pPr>
        <w:spacing w:before="120" w:after="280"/>
      </w:pPr>
      <w:r>
        <w:rPr>
          <w:rFonts w:ascii="Times New Roman" w:hAnsi="Times New Roman" w:eastAsia="黑体"/>
          <w:b/>
          <w:color w:val="1F3A5F"/>
          <w:sz w:val="36"/>
        </w:rPr>
        <w:t>第 13 章  输入文件格式规范</w:t>
      </w:r>
    </w:p>
    <w:p>
      <w:pPr>
        <w:spacing w:before="240" w:after="160"/>
      </w:pPr>
      <w:r>
        <w:rPr>
          <w:rFonts w:ascii="Times New Roman" w:hAnsi="Times New Roman" w:eastAsia="黑体"/>
          <w:b/>
          <w:color w:val="2C3E50"/>
          <w:sz w:val="28"/>
        </w:rPr>
        <w:t>13.1 注释预测 CSV 格式</w:t>
      </w:r>
    </w:p>
    <w:p>
      <w:pPr>
        <w:spacing w:before="0" w:after="120" w:lineRule="exact" w:line="440"/>
        <w:ind w:firstLine="480"/>
      </w:pPr>
      <w:r>
        <w:rPr>
          <w:rFonts w:ascii="Times New Roman" w:hAnsi="Times New Roman" w:eastAsia="宋体"/>
          <w:b w:val="0"/>
          <w:color w:val="222222"/>
          <w:sz w:val="24"/>
        </w:rPr>
        <w:t>细胞类型注释评估的预测结果 CSV 文件，必需字段为 cell_id 与 pred_label，可选字段包括 confidence、baseline_label、method_name。字段含义如下：</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fill="2C3E50"/>
          </w:tcPr>
          <w:p>
            <w:pPr>
              <w:jc w:val="center"/>
            </w:pPr>
            <w:r/>
            <w:r>
              <w:rPr>
                <w:rFonts w:ascii="Times New Roman" w:hAnsi="Times New Roman" w:eastAsia="黑体"/>
                <w:b/>
                <w:color w:val="FFFFFF"/>
                <w:sz w:val="21"/>
              </w:rPr>
              <w:t>字段</w:t>
            </w:r>
          </w:p>
        </w:tc>
        <w:tc>
          <w:tcPr>
            <w:tcW w:type="dxa" w:w="1304"/>
            <w:shd w:val="clear" w:fill="2C3E50"/>
          </w:tcPr>
          <w:p>
            <w:pPr>
              <w:jc w:val="center"/>
            </w:pPr>
            <w:r/>
            <w:r>
              <w:rPr>
                <w:rFonts w:ascii="Times New Roman" w:hAnsi="Times New Roman" w:eastAsia="黑体"/>
                <w:b/>
                <w:color w:val="FFFFFF"/>
                <w:sz w:val="21"/>
              </w:rPr>
              <w:t>是否必需</w:t>
            </w:r>
          </w:p>
        </w:tc>
        <w:tc>
          <w:tcPr>
            <w:tcW w:type="dxa" w:w="5669"/>
            <w:shd w:val="clear" w:fill="2C3E50"/>
          </w:tcPr>
          <w:p>
            <w:pPr>
              <w:jc w:val="center"/>
            </w:pPr>
            <w:r/>
            <w:r>
              <w:rPr>
                <w:rFonts w:ascii="Times New Roman" w:hAnsi="Times New Roman" w:eastAsia="黑体"/>
                <w:b/>
                <w:color w:val="FFFFFF"/>
                <w:sz w:val="21"/>
              </w:rPr>
              <w:t>含义</w:t>
            </w:r>
          </w:p>
        </w:tc>
      </w:tr>
      <w:tr>
        <w:tc>
          <w:tcPr>
            <w:tcW w:type="dxa" w:w="1814"/>
          </w:tcPr>
          <w:p>
            <w:pPr>
              <w:spacing w:after="40" w:lineRule="exact" w:line="360"/>
            </w:pPr>
            <w:r/>
            <w:r>
              <w:rPr>
                <w:rFonts w:ascii="Times New Roman" w:hAnsi="Times New Roman" w:eastAsia="宋体"/>
                <w:b w:val="0"/>
                <w:color w:val="222222"/>
                <w:sz w:val="20"/>
              </w:rPr>
              <w:t>cell_id</w:t>
            </w:r>
          </w:p>
        </w:tc>
        <w:tc>
          <w:tcPr>
            <w:tcW w:type="dxa" w:w="1304"/>
          </w:tcPr>
          <w:p>
            <w:pPr>
              <w:spacing w:after="40" w:lineRule="exact" w:line="360"/>
            </w:pPr>
            <w:r/>
            <w:r>
              <w:rPr>
                <w:rFonts w:ascii="Times New Roman" w:hAnsi="Times New Roman" w:eastAsia="宋体"/>
                <w:b w:val="0"/>
                <w:color w:val="222222"/>
                <w:sz w:val="20"/>
              </w:rPr>
              <w:t>必需</w:t>
            </w:r>
          </w:p>
        </w:tc>
        <w:tc>
          <w:tcPr>
            <w:tcW w:type="dxa" w:w="5669"/>
          </w:tcPr>
          <w:p>
            <w:pPr>
              <w:spacing w:after="40" w:lineRule="exact" w:line="360"/>
            </w:pPr>
            <w:r/>
            <w:r>
              <w:rPr>
                <w:rFonts w:ascii="Times New Roman" w:hAnsi="Times New Roman" w:eastAsia="宋体"/>
                <w:b w:val="0"/>
                <w:color w:val="222222"/>
                <w:sz w:val="20"/>
              </w:rPr>
              <w:t>细胞 ID，需与 AnnData.obs_names 或指定 cell_id 列匹配</w:t>
            </w:r>
          </w:p>
        </w:tc>
      </w:tr>
      <w:tr>
        <w:tc>
          <w:tcPr>
            <w:tcW w:type="dxa" w:w="1814"/>
          </w:tcPr>
          <w:p>
            <w:pPr>
              <w:spacing w:after="40" w:lineRule="exact" w:line="360"/>
            </w:pPr>
            <w:r/>
            <w:r>
              <w:rPr>
                <w:rFonts w:ascii="Times New Roman" w:hAnsi="Times New Roman" w:eastAsia="宋体"/>
                <w:b w:val="0"/>
                <w:color w:val="222222"/>
                <w:sz w:val="20"/>
              </w:rPr>
              <w:t>pred_label</w:t>
            </w:r>
          </w:p>
        </w:tc>
        <w:tc>
          <w:tcPr>
            <w:tcW w:type="dxa" w:w="1304"/>
          </w:tcPr>
          <w:p>
            <w:pPr>
              <w:spacing w:after="40" w:lineRule="exact" w:line="360"/>
            </w:pPr>
            <w:r/>
            <w:r>
              <w:rPr>
                <w:rFonts w:ascii="Times New Roman" w:hAnsi="Times New Roman" w:eastAsia="宋体"/>
                <w:b w:val="0"/>
                <w:color w:val="222222"/>
                <w:sz w:val="20"/>
              </w:rPr>
              <w:t>必需</w:t>
            </w:r>
          </w:p>
        </w:tc>
        <w:tc>
          <w:tcPr>
            <w:tcW w:type="dxa" w:w="5669"/>
          </w:tcPr>
          <w:p>
            <w:pPr>
              <w:spacing w:after="40" w:lineRule="exact" w:line="360"/>
            </w:pPr>
            <w:r/>
            <w:r>
              <w:rPr>
                <w:rFonts w:ascii="Times New Roman" w:hAnsi="Times New Roman" w:eastAsia="宋体"/>
                <w:b w:val="0"/>
                <w:color w:val="222222"/>
                <w:sz w:val="20"/>
              </w:rPr>
              <w:t>方法输出的最终预测标签</w:t>
            </w:r>
          </w:p>
        </w:tc>
      </w:tr>
      <w:tr>
        <w:tc>
          <w:tcPr>
            <w:tcW w:type="dxa" w:w="1814"/>
          </w:tcPr>
          <w:p>
            <w:pPr>
              <w:spacing w:after="40" w:lineRule="exact" w:line="360"/>
            </w:pPr>
            <w:r/>
            <w:r>
              <w:rPr>
                <w:rFonts w:ascii="Times New Roman" w:hAnsi="Times New Roman" w:eastAsia="宋体"/>
                <w:b w:val="0"/>
                <w:color w:val="222222"/>
                <w:sz w:val="20"/>
              </w:rPr>
              <w:t>confidence</w:t>
            </w:r>
          </w:p>
        </w:tc>
        <w:tc>
          <w:tcPr>
            <w:tcW w:type="dxa" w:w="1304"/>
          </w:tcPr>
          <w:p>
            <w:pPr>
              <w:spacing w:after="40" w:lineRule="exact" w:line="360"/>
            </w:pPr>
            <w:r/>
            <w:r>
              <w:rPr>
                <w:rFonts w:ascii="Times New Roman" w:hAnsi="Times New Roman" w:eastAsia="宋体"/>
                <w:b w:val="0"/>
                <w:color w:val="222222"/>
                <w:sz w:val="20"/>
              </w:rPr>
              <w:t>可选</w:t>
            </w:r>
          </w:p>
        </w:tc>
        <w:tc>
          <w:tcPr>
            <w:tcW w:type="dxa" w:w="5669"/>
          </w:tcPr>
          <w:p>
            <w:pPr>
              <w:spacing w:after="40" w:lineRule="exact" w:line="360"/>
            </w:pPr>
            <w:r/>
            <w:r>
              <w:rPr>
                <w:rFonts w:ascii="Times New Roman" w:hAnsi="Times New Roman" w:eastAsia="宋体"/>
                <w:b w:val="0"/>
                <w:color w:val="222222"/>
                <w:sz w:val="20"/>
              </w:rPr>
              <w:t>对预测标签的置信度，建议为 0–1 的概率</w:t>
            </w:r>
          </w:p>
        </w:tc>
      </w:tr>
      <w:tr>
        <w:tc>
          <w:tcPr>
            <w:tcW w:type="dxa" w:w="1814"/>
          </w:tcPr>
          <w:p>
            <w:pPr>
              <w:spacing w:after="40" w:lineRule="exact" w:line="360"/>
            </w:pPr>
            <w:r/>
            <w:r>
              <w:rPr>
                <w:rFonts w:ascii="Times New Roman" w:hAnsi="Times New Roman" w:eastAsia="宋体"/>
                <w:b w:val="0"/>
                <w:color w:val="222222"/>
                <w:sz w:val="20"/>
              </w:rPr>
              <w:t>baseline_label</w:t>
            </w:r>
          </w:p>
        </w:tc>
        <w:tc>
          <w:tcPr>
            <w:tcW w:type="dxa" w:w="1304"/>
          </w:tcPr>
          <w:p>
            <w:pPr>
              <w:spacing w:after="40" w:lineRule="exact" w:line="360"/>
            </w:pPr>
            <w:r/>
            <w:r>
              <w:rPr>
                <w:rFonts w:ascii="Times New Roman" w:hAnsi="Times New Roman" w:eastAsia="宋体"/>
                <w:b w:val="0"/>
                <w:color w:val="222222"/>
                <w:sz w:val="20"/>
              </w:rPr>
              <w:t>可选</w:t>
            </w:r>
          </w:p>
        </w:tc>
        <w:tc>
          <w:tcPr>
            <w:tcW w:type="dxa" w:w="5669"/>
          </w:tcPr>
          <w:p>
            <w:pPr>
              <w:spacing w:after="40" w:lineRule="exact" w:line="360"/>
            </w:pPr>
            <w:r/>
            <w:r>
              <w:rPr>
                <w:rFonts w:ascii="Times New Roman" w:hAnsi="Times New Roman" w:eastAsia="宋体"/>
                <w:b w:val="0"/>
                <w:color w:val="222222"/>
                <w:sz w:val="20"/>
              </w:rPr>
              <w:t>修正前标签，主要用于 rescue 类方法评估</w:t>
            </w:r>
          </w:p>
        </w:tc>
      </w:tr>
      <w:tr>
        <w:tc>
          <w:tcPr>
            <w:tcW w:type="dxa" w:w="1814"/>
          </w:tcPr>
          <w:p>
            <w:pPr>
              <w:spacing w:after="40" w:lineRule="exact" w:line="360"/>
            </w:pPr>
            <w:r/>
            <w:r>
              <w:rPr>
                <w:rFonts w:ascii="Times New Roman" w:hAnsi="Times New Roman" w:eastAsia="宋体"/>
                <w:b w:val="0"/>
                <w:color w:val="222222"/>
                <w:sz w:val="20"/>
              </w:rPr>
              <w:t>method_name</w:t>
            </w:r>
          </w:p>
        </w:tc>
        <w:tc>
          <w:tcPr>
            <w:tcW w:type="dxa" w:w="1304"/>
          </w:tcPr>
          <w:p>
            <w:pPr>
              <w:spacing w:after="40" w:lineRule="exact" w:line="360"/>
            </w:pPr>
            <w:r/>
            <w:r>
              <w:rPr>
                <w:rFonts w:ascii="Times New Roman" w:hAnsi="Times New Roman" w:eastAsia="宋体"/>
                <w:b w:val="0"/>
                <w:color w:val="222222"/>
                <w:sz w:val="20"/>
              </w:rPr>
              <w:t>可选</w:t>
            </w:r>
          </w:p>
        </w:tc>
        <w:tc>
          <w:tcPr>
            <w:tcW w:type="dxa" w:w="5669"/>
          </w:tcPr>
          <w:p>
            <w:pPr>
              <w:spacing w:after="40" w:lineRule="exact" w:line="360"/>
            </w:pPr>
            <w:r/>
            <w:r>
              <w:rPr>
                <w:rFonts w:ascii="Times New Roman" w:hAnsi="Times New Roman" w:eastAsia="宋体"/>
                <w:b w:val="0"/>
                <w:color w:val="222222"/>
                <w:sz w:val="20"/>
              </w:rPr>
              <w:t>方法名称，缺省时由系统配置补充</w:t>
            </w:r>
          </w:p>
        </w:tc>
      </w:tr>
    </w:tbl>
    <w:p>
      <w:pPr>
        <w:spacing w:after="160"/>
      </w:pPr>
    </w:p>
    <w:p>
      <w:pPr>
        <w:spacing w:before="0" w:after="120" w:lineRule="exact" w:line="440"/>
        <w:ind w:firstLine="480"/>
      </w:pPr>
      <w:r>
        <w:rPr>
          <w:rFonts w:ascii="Times New Roman" w:hAnsi="Times New Roman" w:eastAsia="宋体"/>
          <w:b w:val="0"/>
          <w:color w:val="222222"/>
          <w:sz w:val="24"/>
        </w:rPr>
        <w:t>示例：</w:t>
      </w:r>
    </w:p>
    <w:p>
      <w:pPr>
        <w:spacing w:after="0" w:lineRule="exact" w:line="360"/>
        <w:ind w:left="480"/>
        <w:shd w:val="clear" w:fill="F2F4F5"/>
      </w:pPr>
      <w:r>
        <w:rPr>
          <w:rFonts w:ascii="Consolas" w:hAnsi="Consolas" w:eastAsia="宋体"/>
          <w:b w:val="0"/>
          <w:color w:val="104010"/>
          <w:sz w:val="20"/>
        </w:rPr>
        <w:t>cell_id,pred_label,confidence,baseline_label</w:t>
      </w:r>
    </w:p>
    <w:p>
      <w:pPr>
        <w:spacing w:after="0" w:lineRule="exact" w:line="360"/>
        <w:ind w:left="480"/>
        <w:shd w:val="clear" w:fill="F2F4F5"/>
      </w:pPr>
      <w:r>
        <w:rPr>
          <w:rFonts w:ascii="Consolas" w:hAnsi="Consolas" w:eastAsia="宋体"/>
          <w:b w:val="0"/>
          <w:color w:val="104010"/>
          <w:sz w:val="20"/>
        </w:rPr>
        <w:t>cell_001,T cell,0.91,T cell</w:t>
      </w:r>
    </w:p>
    <w:p>
      <w:pPr>
        <w:spacing w:after="0" w:lineRule="exact" w:line="360"/>
        <w:ind w:left="480"/>
        <w:shd w:val="clear" w:fill="F2F4F5"/>
      </w:pPr>
      <w:r>
        <w:rPr>
          <w:rFonts w:ascii="Consolas" w:hAnsi="Consolas" w:eastAsia="宋体"/>
          <w:b w:val="0"/>
          <w:color w:val="104010"/>
          <w:sz w:val="20"/>
        </w:rPr>
        <w:t>cell_002,B cell,0.88,B cell</w:t>
      </w:r>
    </w:p>
    <w:p>
      <w:pPr>
        <w:spacing w:after="0" w:lineRule="exact" w:line="360"/>
        <w:ind w:left="480"/>
        <w:shd w:val="clear" w:fill="F2F4F5"/>
      </w:pPr>
      <w:r>
        <w:rPr>
          <w:rFonts w:ascii="Consolas" w:hAnsi="Consolas" w:eastAsia="宋体"/>
          <w:b w:val="0"/>
          <w:color w:val="104010"/>
          <w:sz w:val="20"/>
        </w:rPr>
        <w:t>cell_003,ASDC,0.76,pDC</w:t>
      </w:r>
    </w:p>
    <w:p>
      <w:pPr>
        <w:spacing w:after="160"/>
      </w:pPr>
    </w:p>
    <w:p>
      <w:pPr>
        <w:spacing w:before="240" w:after="160"/>
      </w:pPr>
      <w:r>
        <w:rPr>
          <w:rFonts w:ascii="Times New Roman" w:hAnsi="Times New Roman" w:eastAsia="黑体"/>
          <w:b/>
          <w:color w:val="2C3E50"/>
          <w:sz w:val="28"/>
        </w:rPr>
        <w:t>13.2 稀有检测预测 CSV 格式</w:t>
      </w:r>
    </w:p>
    <w:p>
      <w:pPr>
        <w:spacing w:before="0" w:after="120" w:lineRule="exact" w:line="440"/>
        <w:ind w:firstLine="480"/>
      </w:pPr>
      <w:r>
        <w:rPr>
          <w:rFonts w:ascii="Times New Roman" w:hAnsi="Times New Roman" w:eastAsia="宋体"/>
          <w:b w:val="0"/>
          <w:color w:val="222222"/>
          <w:sz w:val="24"/>
        </w:rPr>
        <w:t>稀有细胞识别评估的预测结果 CSV，必需字段为 cell_id 与 pred_label；可选字段包括 is_pred_rare、rare_score、target_rare_class、confidence、baseline_label、decision_type。</w:t>
      </w:r>
    </w:p>
    <w:tbl>
      <w:tblPr>
        <w:tblStyle w:val="TableGrid"/>
        <w:tblW w:type="auto" w:w="0"/>
        <w:jc w:val="center"/>
        <w:tblLook w:firstColumn="1" w:firstRow="1" w:lastColumn="0" w:lastRow="0" w:noHBand="0" w:noVBand="1" w:val="04A0"/>
      </w:tblPr>
      <w:tblGrid>
        <w:gridCol w:w="4320"/>
        <w:gridCol w:w="4320"/>
      </w:tblGrid>
      <w:tr>
        <w:tc>
          <w:tcPr>
            <w:tcW w:type="dxa" w:w="2268"/>
            <w:shd w:val="clear" w:fill="2C3E50"/>
          </w:tcPr>
          <w:p>
            <w:pPr>
              <w:jc w:val="center"/>
            </w:pPr>
            <w:r/>
            <w:r>
              <w:rPr>
                <w:rFonts w:ascii="Times New Roman" w:hAnsi="Times New Roman" w:eastAsia="黑体"/>
                <w:b/>
                <w:color w:val="FFFFFF"/>
                <w:sz w:val="21"/>
              </w:rPr>
              <w:t>字段</w:t>
            </w:r>
          </w:p>
        </w:tc>
        <w:tc>
          <w:tcPr>
            <w:tcW w:type="dxa" w:w="6520"/>
            <w:shd w:val="clear" w:fill="2C3E50"/>
          </w:tcPr>
          <w:p>
            <w:pPr>
              <w:jc w:val="center"/>
            </w:pPr>
            <w:r/>
            <w:r>
              <w:rPr>
                <w:rFonts w:ascii="Times New Roman" w:hAnsi="Times New Roman" w:eastAsia="黑体"/>
                <w:b/>
                <w:color w:val="FFFFFF"/>
                <w:sz w:val="21"/>
              </w:rPr>
              <w:t>含义</w:t>
            </w:r>
          </w:p>
        </w:tc>
      </w:tr>
      <w:tr>
        <w:tc>
          <w:tcPr>
            <w:tcW w:type="dxa" w:w="2268"/>
          </w:tcPr>
          <w:p>
            <w:pPr>
              <w:spacing w:after="40" w:lineRule="exact" w:line="360"/>
            </w:pPr>
            <w:r/>
            <w:r>
              <w:rPr>
                <w:rFonts w:ascii="Times New Roman" w:hAnsi="Times New Roman" w:eastAsia="宋体"/>
                <w:b w:val="0"/>
                <w:color w:val="222222"/>
                <w:sz w:val="20"/>
              </w:rPr>
              <w:t>is_pred_rare</w:t>
            </w:r>
          </w:p>
        </w:tc>
        <w:tc>
          <w:tcPr>
            <w:tcW w:type="dxa" w:w="6520"/>
          </w:tcPr>
          <w:p>
            <w:pPr>
              <w:spacing w:after="40" w:lineRule="exact" w:line="360"/>
            </w:pPr>
            <w:r/>
            <w:r>
              <w:rPr>
                <w:rFonts w:ascii="Times New Roman" w:hAnsi="Times New Roman" w:eastAsia="宋体"/>
                <w:b w:val="0"/>
                <w:color w:val="222222"/>
                <w:sz w:val="20"/>
              </w:rPr>
              <w:t>是否被预测为稀有细胞</w:t>
            </w:r>
          </w:p>
        </w:tc>
      </w:tr>
      <w:tr>
        <w:tc>
          <w:tcPr>
            <w:tcW w:type="dxa" w:w="2268"/>
          </w:tcPr>
          <w:p>
            <w:pPr>
              <w:spacing w:after="40" w:lineRule="exact" w:line="360"/>
            </w:pPr>
            <w:r/>
            <w:r>
              <w:rPr>
                <w:rFonts w:ascii="Times New Roman" w:hAnsi="Times New Roman" w:eastAsia="宋体"/>
                <w:b w:val="0"/>
                <w:color w:val="222222"/>
                <w:sz w:val="20"/>
              </w:rPr>
              <w:t>rare_score</w:t>
            </w:r>
          </w:p>
        </w:tc>
        <w:tc>
          <w:tcPr>
            <w:tcW w:type="dxa" w:w="6520"/>
          </w:tcPr>
          <w:p>
            <w:pPr>
              <w:spacing w:after="40" w:lineRule="exact" w:line="360"/>
            </w:pPr>
            <w:r/>
            <w:r>
              <w:rPr>
                <w:rFonts w:ascii="Times New Roman" w:hAnsi="Times New Roman" w:eastAsia="宋体"/>
                <w:b w:val="0"/>
                <w:color w:val="222222"/>
                <w:sz w:val="20"/>
              </w:rPr>
              <w:t>连续稀有细胞得分，用于计算 AUROC / AUPRC</w:t>
            </w:r>
          </w:p>
        </w:tc>
      </w:tr>
      <w:tr>
        <w:tc>
          <w:tcPr>
            <w:tcW w:type="dxa" w:w="2268"/>
          </w:tcPr>
          <w:p>
            <w:pPr>
              <w:spacing w:after="40" w:lineRule="exact" w:line="360"/>
            </w:pPr>
            <w:r/>
            <w:r>
              <w:rPr>
                <w:rFonts w:ascii="Times New Roman" w:hAnsi="Times New Roman" w:eastAsia="宋体"/>
                <w:b w:val="0"/>
                <w:color w:val="222222"/>
                <w:sz w:val="20"/>
              </w:rPr>
              <w:t>target_rare_class</w:t>
            </w:r>
          </w:p>
        </w:tc>
        <w:tc>
          <w:tcPr>
            <w:tcW w:type="dxa" w:w="6520"/>
          </w:tcPr>
          <w:p>
            <w:pPr>
              <w:spacing w:after="40" w:lineRule="exact" w:line="360"/>
            </w:pPr>
            <w:r/>
            <w:r>
              <w:rPr>
                <w:rFonts w:ascii="Times New Roman" w:hAnsi="Times New Roman" w:eastAsia="宋体"/>
                <w:b w:val="0"/>
                <w:color w:val="222222"/>
                <w:sz w:val="20"/>
              </w:rPr>
              <w:t>目标稀有类</w:t>
            </w:r>
          </w:p>
        </w:tc>
      </w:tr>
      <w:tr>
        <w:tc>
          <w:tcPr>
            <w:tcW w:type="dxa" w:w="2268"/>
          </w:tcPr>
          <w:p>
            <w:pPr>
              <w:spacing w:after="40" w:lineRule="exact" w:line="360"/>
            </w:pPr>
            <w:r/>
            <w:r>
              <w:rPr>
                <w:rFonts w:ascii="Times New Roman" w:hAnsi="Times New Roman" w:eastAsia="宋体"/>
                <w:b w:val="0"/>
                <w:color w:val="222222"/>
                <w:sz w:val="20"/>
              </w:rPr>
              <w:t>decision_type</w:t>
            </w:r>
          </w:p>
        </w:tc>
        <w:tc>
          <w:tcPr>
            <w:tcW w:type="dxa" w:w="6520"/>
          </w:tcPr>
          <w:p>
            <w:pPr>
              <w:spacing w:after="40" w:lineRule="exact" w:line="360"/>
            </w:pPr>
            <w:r/>
            <w:r>
              <w:rPr>
                <w:rFonts w:ascii="Times New Roman" w:hAnsi="Times New Roman" w:eastAsia="宋体"/>
                <w:b w:val="0"/>
                <w:color w:val="222222"/>
                <w:sz w:val="20"/>
              </w:rPr>
              <w:t>keep / rescue / abstain / reject</w:t>
            </w:r>
          </w:p>
        </w:tc>
      </w:tr>
    </w:tbl>
    <w:p>
      <w:pPr>
        <w:spacing w:after="160"/>
      </w:pPr>
    </w:p>
    <w:p>
      <w:pPr>
        <w:spacing w:before="240" w:after="160"/>
      </w:pPr>
      <w:r>
        <w:rPr>
          <w:rFonts w:ascii="Times New Roman" w:hAnsi="Times New Roman" w:eastAsia="黑体"/>
          <w:b/>
          <w:color w:val="2C3E50"/>
          <w:sz w:val="28"/>
        </w:rPr>
        <w:t>13.3 cell_id 匹配策略</w:t>
      </w:r>
    </w:p>
    <w:p>
      <w:pPr>
        <w:spacing w:before="0" w:after="120" w:lineRule="exact" w:line="440"/>
        <w:ind w:firstLine="480"/>
      </w:pPr>
      <w:r>
        <w:rPr>
          <w:rFonts w:ascii="Times New Roman" w:hAnsi="Times New Roman" w:eastAsia="宋体"/>
          <w:b w:val="0"/>
          <w:color w:val="222222"/>
          <w:sz w:val="24"/>
        </w:rPr>
        <w:t>系统按以下优先级匹配预测结果与 AnnData：① 精确匹配 AnnData.obs_names；② 精确匹配用户指定的 cell_id 列；③ 可选启用 barcode 标准化后匹配。默认仅执行去除首尾空格的轻量标准化，避免错误匹配。评估前会生成匹配报告，记录总预测细胞数、匹配细胞数、未匹配数与匹配率。</w:t>
      </w:r>
    </w:p>
    <w:p>
      <w:pPr>
        <w:spacing w:before="240" w:after="160"/>
      </w:pPr>
      <w:r>
        <w:rPr>
          <w:rFonts w:ascii="Times New Roman" w:hAnsi="Times New Roman" w:eastAsia="黑体"/>
          <w:b/>
          <w:color w:val="2C3E50"/>
          <w:sz w:val="28"/>
        </w:rPr>
        <w:t>13.4 标签异常值处理</w:t>
      </w:r>
    </w:p>
    <w:p>
      <w:pPr>
        <w:spacing w:before="0" w:after="120" w:lineRule="exact" w:line="440"/>
        <w:ind w:firstLine="480"/>
      </w:pPr>
      <w:r>
        <w:rPr>
          <w:rFonts w:ascii="Times New Roman" w:hAnsi="Times New Roman" w:eastAsia="宋体"/>
          <w:b w:val="0"/>
          <w:color w:val="222222"/>
          <w:sz w:val="24"/>
        </w:rPr>
        <w:t>系统默认将以下取值视为缺失或无效标签：NaN、None、空字符串、NA、Unknown、unknown、unassigned、Unassigned。评估指标仅在有效标签细胞上计算，报告中会记录有效标签细胞数与无效标签比例。</w:t>
      </w:r>
    </w:p>
    <w:p>
      <w:pPr>
        <w:spacing w:before="240" w:after="160"/>
      </w:pPr>
      <w:r>
        <w:rPr>
          <w:rFonts w:ascii="Times New Roman" w:hAnsi="Times New Roman" w:eastAsia="黑体"/>
          <w:b/>
          <w:color w:val="2C3E50"/>
          <w:sz w:val="28"/>
        </w:rPr>
        <w:t>13.5 匹配失败处理</w:t>
      </w:r>
    </w:p>
    <w:p>
      <w:pPr>
        <w:spacing w:before="0" w:after="120" w:lineRule="exact" w:line="440"/>
        <w:ind w:firstLine="480"/>
      </w:pPr>
      <w:r>
        <w:rPr>
          <w:rFonts w:ascii="Times New Roman" w:hAnsi="Times New Roman" w:eastAsia="宋体"/>
          <w:b w:val="0"/>
          <w:color w:val="222222"/>
          <w:sz w:val="24"/>
        </w:rPr>
        <w:t>系统提供严格模式与宽松模式两种匹配策略。严格模式下，若匹配率低于 95% 即报错，要求用户确认或修正；宽松模式下仅在已匹配细胞子集上计算指标，并在报告中注明本次指标基于匹配细胞子集计算。若零匹配，则直接报错终止。</w:t>
      </w:r>
    </w:p>
    <w:p>
      <w:r>
        <w:br w:type="page"/>
      </w:r>
    </w:p>
    <w:p>
      <w:pPr>
        <w:spacing w:before="120" w:after="280"/>
      </w:pPr>
      <w:r>
        <w:rPr>
          <w:rFonts w:ascii="Times New Roman" w:hAnsi="Times New Roman" w:eastAsia="黑体"/>
          <w:b/>
          <w:color w:val="1F3A5F"/>
          <w:sz w:val="36"/>
        </w:rPr>
        <w:t>第 14 章  评估指标说明</w:t>
      </w:r>
    </w:p>
    <w:p>
      <w:pPr>
        <w:spacing w:before="240" w:after="160"/>
      </w:pPr>
      <w:r>
        <w:rPr>
          <w:rFonts w:ascii="Times New Roman" w:hAnsi="Times New Roman" w:eastAsia="黑体"/>
          <w:b/>
          <w:color w:val="2C3E50"/>
          <w:sz w:val="28"/>
        </w:rPr>
        <w:t>14.1 细胞类型注释指标</w:t>
      </w:r>
    </w:p>
    <w:p>
      <w:pPr>
        <w:spacing w:before="0" w:after="120" w:lineRule="exact" w:line="440"/>
        <w:ind w:firstLine="480"/>
      </w:pPr>
      <w:r>
        <w:rPr>
          <w:rFonts w:ascii="Times New Roman" w:hAnsi="Times New Roman" w:eastAsia="宋体"/>
          <w:b w:val="0"/>
          <w:color w:val="222222"/>
          <w:sz w:val="24"/>
        </w:rPr>
        <w:t>细胞类型注释评估固定计算以下指标：</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accuracy（准确率）、balanced_accuracy（平衡准确率）；</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macro_f1（宏平均 F1）、weighted_f1（加权 F1）；</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per_class_precision / recall / f1（各类别精确率、召回率、F1）；</w:t>
      </w:r>
    </w:p>
    <w:p>
      <w:pPr>
        <w:spacing w:after="60" w:lineRule="exact" w:line="400"/>
        <w:ind w:left="480"/>
      </w:pPr>
      <w:r>
        <w:rPr>
          <w:rFonts w:ascii="Times New Roman" w:hAnsi="Times New Roman" w:eastAsia="宋体"/>
          <w:b w:val="0"/>
          <w:color w:val="666666"/>
          <w:sz w:val="20"/>
        </w:rPr>
        <w:t xml:space="preserve">● </w:t>
      </w:r>
      <w:r>
        <w:rPr>
          <w:rFonts w:ascii="Times New Roman" w:hAnsi="Times New Roman" w:eastAsia="宋体"/>
          <w:b w:val="0"/>
          <w:color w:val="222222"/>
          <w:sz w:val="24"/>
        </w:rPr>
        <w:t>confusion_matrix（混淆矩阵）。</w:t>
      </w:r>
    </w:p>
    <w:p>
      <w:pPr>
        <w:spacing w:before="0" w:after="120" w:lineRule="exact" w:line="440"/>
        <w:ind w:firstLine="480"/>
      </w:pPr>
      <w:r>
        <w:rPr>
          <w:rFonts w:ascii="Times New Roman" w:hAnsi="Times New Roman" w:eastAsia="宋体"/>
          <w:b w:val="0"/>
          <w:color w:val="222222"/>
          <w:sz w:val="24"/>
        </w:rPr>
        <w:t>当预测结果包含 confidence 字段时，还会计算置信度校准相关的统计信息。</w:t>
      </w:r>
    </w:p>
    <w:p>
      <w:pPr>
        <w:spacing w:before="240" w:after="160"/>
      </w:pPr>
      <w:r>
        <w:rPr>
          <w:rFonts w:ascii="Times New Roman" w:hAnsi="Times New Roman" w:eastAsia="黑体"/>
          <w:b/>
          <w:color w:val="2C3E50"/>
          <w:sz w:val="28"/>
        </w:rPr>
        <w:t>14.2 稀有细胞阈值型指标</w:t>
      </w:r>
    </w:p>
    <w:p>
      <w:pPr>
        <w:spacing w:before="0" w:after="120" w:lineRule="exact" w:line="440"/>
        <w:ind w:firstLine="480"/>
      </w:pPr>
      <w:r>
        <w:rPr>
          <w:rFonts w:ascii="Times New Roman" w:hAnsi="Times New Roman" w:eastAsia="宋体"/>
          <w:b w:val="0"/>
          <w:color w:val="222222"/>
          <w:sz w:val="24"/>
        </w:rPr>
        <w:t>只要存在 pred_label 即可计算稀有细胞阈值型指标：rare_precision（稀有精确率）、rare_recall（稀有召回率）、rare_f1、rare_confusion_matrix、false_positive_count、false_negative_count、missed_rare_count 等。</w:t>
      </w:r>
    </w:p>
    <w:p>
      <w:pPr>
        <w:spacing w:before="240" w:after="160"/>
      </w:pPr>
      <w:r>
        <w:rPr>
          <w:rFonts w:ascii="Times New Roman" w:hAnsi="Times New Roman" w:eastAsia="黑体"/>
          <w:b/>
          <w:color w:val="2C3E50"/>
          <w:sz w:val="28"/>
        </w:rPr>
        <w:t>14.3 稀有细胞曲线型指标</w:t>
      </w:r>
    </w:p>
    <w:p>
      <w:pPr>
        <w:spacing w:before="0" w:after="120" w:lineRule="exact" w:line="440"/>
        <w:ind w:firstLine="480"/>
      </w:pPr>
      <w:r>
        <w:rPr>
          <w:rFonts w:ascii="Times New Roman" w:hAnsi="Times New Roman" w:eastAsia="宋体"/>
          <w:b w:val="0"/>
          <w:color w:val="222222"/>
          <w:sz w:val="24"/>
        </w:rPr>
        <w:t>仅当预测结果包含连续 rare_score 时，才会计算曲线型指标：auroc、auprc、roc_curve、pr_curve。若未提供 rare_score，报告中会注明「AUROC/AUPRC 未计算：当前预测结果未提供连续 rare_score，仅支持阈值型指标」。</w:t>
      </w:r>
    </w:p>
    <w:p>
      <w:pPr>
        <w:spacing w:before="240" w:after="160"/>
      </w:pPr>
      <w:r>
        <w:rPr>
          <w:rFonts w:ascii="Times New Roman" w:hAnsi="Times New Roman" w:eastAsia="黑体"/>
          <w:b/>
          <w:color w:val="2C3E50"/>
          <w:sz w:val="28"/>
        </w:rPr>
        <w:t>14.4 False Rescue Rate</w:t>
      </w:r>
    </w:p>
    <w:p>
      <w:pPr>
        <w:spacing w:before="0" w:after="120" w:lineRule="exact" w:line="440"/>
        <w:ind w:firstLine="480"/>
      </w:pPr>
      <w:r>
        <w:rPr>
          <w:rFonts w:ascii="Times New Roman" w:hAnsi="Times New Roman" w:eastAsia="宋体"/>
          <w:b w:val="0"/>
          <w:color w:val="222222"/>
          <w:sz w:val="24"/>
        </w:rPr>
        <w:t>False Rescue Rate（错误挽救率，FRR）仅在提供 baseline_label 或 decision_type 时计算，用于评估 rescue 类方法。其定义为：</w:t>
      </w:r>
    </w:p>
    <w:p>
      <w:pPr>
        <w:spacing w:after="0" w:lineRule="exact" w:line="360"/>
        <w:ind w:left="480"/>
        <w:shd w:val="clear" w:fill="F2F4F5"/>
      </w:pPr>
      <w:r>
        <w:rPr>
          <w:rFonts w:ascii="Consolas" w:hAnsi="Consolas" w:eastAsia="宋体"/>
          <w:b w:val="0"/>
          <w:color w:val="104010"/>
          <w:sz w:val="20"/>
        </w:rPr>
        <w:t>false_rescue_rate = false_rescue_count / max(rescue_attempt_count, 1)</w:t>
      </w:r>
    </w:p>
    <w:p>
      <w:pPr>
        <w:spacing w:after="0" w:lineRule="exact" w:line="360"/>
        <w:ind w:left="480"/>
        <w:shd w:val="clear" w:fill="F2F4F5"/>
      </w:pPr>
      <w:r>
        <w:rPr>
          <w:rFonts w:ascii="Consolas" w:hAnsi="Consolas" w:eastAsia="宋体"/>
          <w:b w:val="0"/>
          <w:color w:val="104010"/>
          <w:sz w:val="20"/>
        </w:rPr>
        <w:t>其中：</w:t>
      </w:r>
    </w:p>
    <w:p>
      <w:pPr>
        <w:spacing w:after="0" w:lineRule="exact" w:line="360"/>
        <w:ind w:left="480"/>
        <w:shd w:val="clear" w:fill="F2F4F5"/>
      </w:pPr>
      <w:r>
        <w:rPr>
          <w:rFonts w:ascii="Consolas" w:hAnsi="Consolas" w:eastAsia="宋体"/>
          <w:b w:val="0"/>
          <w:color w:val="104010"/>
          <w:sz w:val="20"/>
        </w:rPr>
        <w:t>rescue_attempt_count = count(baseline_label != r 且 pred_label = r)</w:t>
      </w:r>
    </w:p>
    <w:p>
      <w:pPr>
        <w:spacing w:after="0" w:lineRule="exact" w:line="360"/>
        <w:ind w:left="480"/>
        <w:shd w:val="clear" w:fill="F2F4F5"/>
      </w:pPr>
      <w:r>
        <w:rPr>
          <w:rFonts w:ascii="Consolas" w:hAnsi="Consolas" w:eastAsia="宋体"/>
          <w:b w:val="0"/>
          <w:color w:val="104010"/>
          <w:sz w:val="20"/>
        </w:rPr>
        <w:t>false_rescue_count   = count(true_label != r 且 baseline_label != r 且 pred_label = r)</w:t>
      </w:r>
    </w:p>
    <w:p>
      <w:pPr>
        <w:spacing w:after="160"/>
      </w:pPr>
    </w:p>
    <w:p>
      <w:pPr>
        <w:spacing w:before="0" w:after="120" w:lineRule="exact" w:line="440"/>
        <w:ind w:firstLine="480"/>
      </w:pPr>
      <w:r>
        <w:rPr>
          <w:rFonts w:ascii="Times New Roman" w:hAnsi="Times New Roman" w:eastAsia="宋体"/>
          <w:b w:val="0"/>
          <w:color w:val="222222"/>
          <w:sz w:val="24"/>
        </w:rPr>
        <w:t>若未提供 baseline_label，报告中会注明 False Rescue Rate 未计算的原因。</w:t>
      </w:r>
    </w:p>
    <w:p>
      <w:pPr>
        <w:spacing w:before="240" w:after="160"/>
      </w:pPr>
      <w:r>
        <w:rPr>
          <w:rFonts w:ascii="Times New Roman" w:hAnsi="Times New Roman" w:eastAsia="黑体"/>
          <w:b/>
          <w:color w:val="2C3E50"/>
          <w:sz w:val="28"/>
        </w:rPr>
        <w:t>14.5 指标不可计算的情况</w:t>
      </w:r>
    </w:p>
    <w:p>
      <w:pPr>
        <w:spacing w:before="0" w:after="120" w:lineRule="exact" w:line="440"/>
        <w:ind w:firstLine="480"/>
      </w:pPr>
      <w:r>
        <w:rPr>
          <w:rFonts w:ascii="Times New Roman" w:hAnsi="Times New Roman" w:eastAsia="宋体"/>
          <w:b w:val="0"/>
          <w:color w:val="222222"/>
          <w:sz w:val="24"/>
        </w:rPr>
        <w:t>系统对退化情况进行了稳健处理，包括：目标稀有类在真值中数量为 0、预测结果中没有任何稀有预测、真值只有一个类别、所有预测都是同一标签、rare_score 全部相同、confidence 不在 0–1 范围、CSV 存在重复 cell_id 等。处理原则为：能计算的指标继续计算，不能计算的指标返回 null 并在报告中说明原因，禁止静默输出错误数值。</w:t>
      </w:r>
    </w:p>
    <w:p>
      <w:r>
        <w:br w:type="page"/>
      </w:r>
    </w:p>
    <w:p>
      <w:pPr>
        <w:spacing w:before="120" w:after="280"/>
      </w:pPr>
      <w:r>
        <w:rPr>
          <w:rFonts w:ascii="Times New Roman" w:hAnsi="Times New Roman" w:eastAsia="黑体"/>
          <w:b/>
          <w:color w:val="1F3A5F"/>
          <w:sz w:val="36"/>
        </w:rPr>
        <w:t>第 15 章  常见问题与故障排除</w:t>
      </w:r>
    </w:p>
    <w:p>
      <w:pPr>
        <w:spacing w:before="240" w:after="160"/>
      </w:pPr>
      <w:r>
        <w:rPr>
          <w:rFonts w:ascii="Times New Roman" w:hAnsi="Times New Roman" w:eastAsia="黑体"/>
          <w:b/>
          <w:color w:val="2C3E50"/>
          <w:sz w:val="28"/>
        </w:rPr>
        <w:t>15.1 Agent 连接问题</w:t>
      </w:r>
    </w:p>
    <w:p>
      <w:pPr>
        <w:spacing w:before="120" w:after="40"/>
        <w:ind w:left="240"/>
      </w:pPr>
      <w:r>
        <w:rPr>
          <w:rFonts w:ascii="Times New Roman" w:hAnsi="Times New Roman" w:eastAsia="黑体"/>
          <w:b/>
          <w:color w:val="1F3A5F"/>
          <w:sz w:val="24"/>
        </w:rPr>
        <w:t>问：配对页面提示「未检测到本地 Agent 服务」？</w:t>
      </w:r>
    </w:p>
    <w:p>
      <w:pPr>
        <w:spacing w:after="120" w:line="440" w:lineRule="exact"/>
        <w:ind w:left="240"/>
      </w:pPr>
      <w:r>
        <w:rPr>
          <w:rFonts w:ascii="Times New Roman" w:hAnsi="Times New Roman" w:eastAsia="宋体"/>
          <w:b w:val="0"/>
          <w:color w:val="666666"/>
          <w:sz w:val="24"/>
        </w:rPr>
        <w:t>答：请确认本地 Agent 已启动并监听 127.0.0.1:17890。可在终端执行 Agent 启动命令，并访问健康检查接口确认服务状态。</w:t>
      </w:r>
    </w:p>
    <w:p>
      <w:pPr>
        <w:spacing w:before="120" w:after="40"/>
        <w:ind w:left="240"/>
      </w:pPr>
      <w:r>
        <w:rPr>
          <w:rFonts w:ascii="Times New Roman" w:hAnsi="Times New Roman" w:eastAsia="黑体"/>
          <w:b/>
          <w:color w:val="1F3A5F"/>
          <w:sz w:val="24"/>
        </w:rPr>
        <w:t>问：配对成功后环境信息不显示？</w:t>
      </w:r>
    </w:p>
    <w:p>
      <w:pPr>
        <w:spacing w:after="120" w:line="440" w:lineRule="exact"/>
        <w:ind w:left="240"/>
      </w:pPr>
      <w:r>
        <w:rPr>
          <w:rFonts w:ascii="Times New Roman" w:hAnsi="Times New Roman" w:eastAsia="宋体"/>
          <w:b w:val="0"/>
          <w:color w:val="666666"/>
          <w:sz w:val="24"/>
        </w:rPr>
        <w:t>答：可能是会话令牌已失效（如 Agent 曾重启）。系统会自动检测并清除失效令牌、回到等待配对状态，重新配对即可。</w:t>
      </w:r>
    </w:p>
    <w:p>
      <w:pPr>
        <w:spacing w:before="240" w:after="160"/>
      </w:pPr>
      <w:r>
        <w:rPr>
          <w:rFonts w:ascii="Times New Roman" w:hAnsi="Times New Roman" w:eastAsia="黑体"/>
          <w:b/>
          <w:color w:val="2C3E50"/>
          <w:sz w:val="28"/>
        </w:rPr>
        <w:t>15.2 数据集检测问题</w:t>
      </w:r>
    </w:p>
    <w:p>
      <w:pPr>
        <w:spacing w:before="120" w:after="40"/>
        <w:ind w:left="240"/>
      </w:pPr>
      <w:r>
        <w:rPr>
          <w:rFonts w:ascii="Times New Roman" w:hAnsi="Times New Roman" w:eastAsia="黑体"/>
          <w:b/>
          <w:color w:val="1F3A5F"/>
          <w:sz w:val="24"/>
        </w:rPr>
        <w:t>问：检测 H5AD 提示文件不存在或无法解析？</w:t>
      </w:r>
    </w:p>
    <w:p>
      <w:pPr>
        <w:spacing w:after="120" w:line="440" w:lineRule="exact"/>
        <w:ind w:left="240"/>
      </w:pPr>
      <w:r>
        <w:rPr>
          <w:rFonts w:ascii="Times New Roman" w:hAnsi="Times New Roman" w:eastAsia="宋体"/>
          <w:b w:val="0"/>
          <w:color w:val="666666"/>
          <w:sz w:val="24"/>
        </w:rPr>
        <w:t>答：请检查填写的是否为 .h5ad 文件的完整绝对路径，且文件确实存在、可被 anndata 正常读取。</w:t>
      </w:r>
    </w:p>
    <w:p>
      <w:pPr>
        <w:spacing w:before="120" w:after="40"/>
        <w:ind w:left="240"/>
      </w:pPr>
      <w:r>
        <w:rPr>
          <w:rFonts w:ascii="Times New Roman" w:hAnsi="Times New Roman" w:eastAsia="黑体"/>
          <w:b/>
          <w:color w:val="1F3A5F"/>
          <w:sz w:val="24"/>
        </w:rPr>
        <w:t>问：注册数据集时提示 label_col 未找到？</w:t>
      </w:r>
    </w:p>
    <w:p>
      <w:pPr>
        <w:spacing w:after="120" w:line="440" w:lineRule="exact"/>
        <w:ind w:left="240"/>
      </w:pPr>
      <w:r>
        <w:rPr>
          <w:rFonts w:ascii="Times New Roman" w:hAnsi="Times New Roman" w:eastAsia="宋体"/>
          <w:b w:val="0"/>
          <w:color w:val="666666"/>
          <w:sz w:val="24"/>
        </w:rPr>
        <w:t>答：请确认所选标签列确实存在于该数据集的 obs 列中。</w:t>
      </w:r>
    </w:p>
    <w:p>
      <w:pPr>
        <w:spacing w:before="240" w:after="160"/>
      </w:pPr>
      <w:r>
        <w:rPr>
          <w:rFonts w:ascii="Times New Roman" w:hAnsi="Times New Roman" w:eastAsia="黑体"/>
          <w:b/>
          <w:color w:val="2C3E50"/>
          <w:sz w:val="28"/>
        </w:rPr>
        <w:t>15.3 评估任务失败</w:t>
      </w:r>
    </w:p>
    <w:p>
      <w:pPr>
        <w:spacing w:before="120" w:after="40"/>
        <w:ind w:left="240"/>
      </w:pPr>
      <w:r>
        <w:rPr>
          <w:rFonts w:ascii="Times New Roman" w:hAnsi="Times New Roman" w:eastAsia="黑体"/>
          <w:b/>
          <w:color w:val="1F3A5F"/>
          <w:sz w:val="24"/>
        </w:rPr>
        <w:t>问：评估任务状态变为 failed？</w:t>
      </w:r>
    </w:p>
    <w:p>
      <w:pPr>
        <w:spacing w:after="120" w:line="440" w:lineRule="exact"/>
        <w:ind w:left="240"/>
      </w:pPr>
      <w:r>
        <w:rPr>
          <w:rFonts w:ascii="Times New Roman" w:hAnsi="Times New Roman" w:eastAsia="宋体"/>
          <w:b w:val="0"/>
          <w:color w:val="666666"/>
          <w:sz w:val="24"/>
        </w:rPr>
        <w:t>答：可点击「查看运行日志」查看 stderr 输出。常见原因包括：预测 CSV 缺少必需字段、cell_id 与数据集完全不匹配、标签列名称不正确等。</w:t>
      </w:r>
    </w:p>
    <w:p>
      <w:pPr>
        <w:spacing w:before="120" w:after="40"/>
        <w:ind w:left="240"/>
      </w:pPr>
      <w:r>
        <w:rPr>
          <w:rFonts w:ascii="Times New Roman" w:hAnsi="Times New Roman" w:eastAsia="黑体"/>
          <w:b/>
          <w:color w:val="1F3A5F"/>
          <w:sz w:val="24"/>
        </w:rPr>
        <w:t>问：提示零匹配？</w:t>
      </w:r>
    </w:p>
    <w:p>
      <w:pPr>
        <w:spacing w:after="120" w:line="440" w:lineRule="exact"/>
        <w:ind w:left="240"/>
      </w:pPr>
      <w:r>
        <w:rPr>
          <w:rFonts w:ascii="Times New Roman" w:hAnsi="Times New Roman" w:eastAsia="宋体"/>
          <w:b w:val="0"/>
          <w:color w:val="666666"/>
          <w:sz w:val="24"/>
        </w:rPr>
        <w:t>答：说明预测 CSV 的 cell_id 与数据集 obs_names 没有任何交集，请确认预测结果对应的是同一数据集。</w:t>
      </w:r>
    </w:p>
    <w:p>
      <w:pPr>
        <w:spacing w:before="240" w:after="160"/>
      </w:pPr>
      <w:r>
        <w:rPr>
          <w:rFonts w:ascii="Times New Roman" w:hAnsi="Times New Roman" w:eastAsia="黑体"/>
          <w:b/>
          <w:color w:val="2C3E50"/>
          <w:sz w:val="28"/>
        </w:rPr>
        <w:t>15.4 报告查看问题</w:t>
      </w:r>
    </w:p>
    <w:p>
      <w:pPr>
        <w:spacing w:before="120" w:after="40"/>
        <w:ind w:left="240"/>
      </w:pPr>
      <w:r>
        <w:rPr>
          <w:rFonts w:ascii="Times New Roman" w:hAnsi="Times New Roman" w:eastAsia="黑体"/>
          <w:b/>
          <w:color w:val="1F3A5F"/>
          <w:sz w:val="24"/>
        </w:rPr>
        <w:t>问：在线查看报告时图表不显示？</w:t>
      </w:r>
    </w:p>
    <w:p>
      <w:pPr>
        <w:spacing w:after="120" w:line="440" w:lineRule="exact"/>
        <w:ind w:left="240"/>
      </w:pPr>
      <w:r>
        <w:rPr>
          <w:rFonts w:ascii="Times New Roman" w:hAnsi="Times New Roman" w:eastAsia="宋体"/>
          <w:b w:val="0"/>
          <w:color w:val="666666"/>
          <w:sz w:val="24"/>
        </w:rPr>
        <w:t>答：V1.0 已将报告图表内嵌为 base64 数据，报告为自包含单文件，正常情况下图表均可显示。若仍异常，请确认评估任务已成功完成并生成了报告。</w:t>
      </w:r>
    </w:p>
    <w:p>
      <w:pPr>
        <w:spacing w:before="120" w:after="40"/>
        <w:ind w:left="240"/>
      </w:pPr>
      <w:r>
        <w:rPr>
          <w:rFonts w:ascii="Times New Roman" w:hAnsi="Times New Roman" w:eastAsia="黑体"/>
          <w:b/>
          <w:color w:val="1F3A5F"/>
          <w:sz w:val="24"/>
        </w:rPr>
        <w:t>问：查看报告提示需要配对？</w:t>
      </w:r>
    </w:p>
    <w:p>
      <w:pPr>
        <w:spacing w:after="120" w:line="440" w:lineRule="exact"/>
        <w:ind w:left="240"/>
      </w:pPr>
      <w:r>
        <w:rPr>
          <w:rFonts w:ascii="Times New Roman" w:hAnsi="Times New Roman" w:eastAsia="宋体"/>
          <w:b w:val="0"/>
          <w:color w:val="666666"/>
          <w:sz w:val="24"/>
        </w:rPr>
        <w:t>答：在线查看与下载报告需要本地 Agent 处于在线且已配对状态，请先完成节点配对。</w:t>
      </w:r>
    </w:p>
    <w:p>
      <w:pPr>
        <w:spacing w:before="240" w:after="160"/>
      </w:pPr>
      <w:r>
        <w:rPr>
          <w:rFonts w:ascii="Times New Roman" w:hAnsi="Times New Roman" w:eastAsia="黑体"/>
          <w:b/>
          <w:color w:val="2C3E50"/>
          <w:sz w:val="28"/>
        </w:rPr>
        <w:t>15.5 数据库连接问题</w:t>
      </w:r>
    </w:p>
    <w:p>
      <w:pPr>
        <w:spacing w:before="120" w:after="40"/>
        <w:ind w:left="240"/>
      </w:pPr>
      <w:r>
        <w:rPr>
          <w:rFonts w:ascii="Times New Roman" w:hAnsi="Times New Roman" w:eastAsia="黑体"/>
          <w:b/>
          <w:color w:val="1F3A5F"/>
          <w:sz w:val="24"/>
        </w:rPr>
        <w:t>问：后端启动报数据库连接错误？</w:t>
      </w:r>
    </w:p>
    <w:p>
      <w:pPr>
        <w:spacing w:after="120" w:line="440" w:lineRule="exact"/>
        <w:ind w:left="240"/>
      </w:pPr>
      <w:r>
        <w:rPr>
          <w:rFonts w:ascii="Times New Roman" w:hAnsi="Times New Roman" w:eastAsia="宋体"/>
          <w:b w:val="0"/>
          <w:color w:val="666666"/>
          <w:sz w:val="24"/>
        </w:rPr>
        <w:t>答：请检查 MySQL 服务是否正常、连接参数（主机、端口、用户名、密码、数据库名）是否正确，以及网络是否可达。</w:t>
      </w:r>
    </w:p>
    <w:p>
      <w:r>
        <w:br w:type="page"/>
      </w:r>
    </w:p>
    <w:p>
      <w:pPr>
        <w:spacing w:before="120" w:after="280"/>
      </w:pPr>
      <w:r>
        <w:rPr>
          <w:rFonts w:ascii="Times New Roman" w:hAnsi="Times New Roman" w:eastAsia="黑体"/>
          <w:b/>
          <w:color w:val="1F3A5F"/>
          <w:sz w:val="36"/>
        </w:rPr>
        <w:t>第 A 章  附录 A　系统功能清单</w:t>
      </w:r>
    </w:p>
    <w:tbl>
      <w:tblPr>
        <w:tblStyle w:val="TableGrid"/>
        <w:tblW w:type="auto" w:w="0"/>
        <w:jc w:val="center"/>
        <w:tblLook w:firstColumn="1" w:firstRow="1" w:lastColumn="0" w:lastRow="0" w:noHBand="0" w:noVBand="1" w:val="04A0"/>
      </w:tblPr>
      <w:tblGrid>
        <w:gridCol w:w="4320"/>
        <w:gridCol w:w="4320"/>
      </w:tblGrid>
      <w:tr>
        <w:tc>
          <w:tcPr>
            <w:tcW w:type="dxa" w:w="1814"/>
            <w:shd w:val="clear" w:fill="2C3E50"/>
          </w:tcPr>
          <w:p>
            <w:pPr>
              <w:jc w:val="center"/>
            </w:pPr>
            <w:r/>
            <w:r>
              <w:rPr>
                <w:rFonts w:ascii="Times New Roman" w:hAnsi="Times New Roman" w:eastAsia="黑体"/>
                <w:b/>
                <w:color w:val="FFFFFF"/>
                <w:sz w:val="21"/>
              </w:rPr>
              <w:t>功能模块</w:t>
            </w:r>
          </w:p>
        </w:tc>
        <w:tc>
          <w:tcPr>
            <w:tcW w:type="dxa" w:w="6973"/>
            <w:shd w:val="clear" w:fill="2C3E50"/>
          </w:tcPr>
          <w:p>
            <w:pPr>
              <w:jc w:val="center"/>
            </w:pPr>
            <w:r/>
            <w:r>
              <w:rPr>
                <w:rFonts w:ascii="Times New Roman" w:hAnsi="Times New Roman" w:eastAsia="黑体"/>
                <w:b/>
                <w:color w:val="FFFFFF"/>
                <w:sz w:val="21"/>
              </w:rPr>
              <w:t>功能项</w:t>
            </w:r>
          </w:p>
        </w:tc>
      </w:tr>
      <w:tr>
        <w:tc>
          <w:tcPr>
            <w:tcW w:type="dxa" w:w="1814"/>
          </w:tcPr>
          <w:p>
            <w:pPr>
              <w:spacing w:after="40" w:lineRule="exact" w:line="360"/>
            </w:pPr>
            <w:r/>
            <w:r>
              <w:rPr>
                <w:rFonts w:ascii="Times New Roman" w:hAnsi="Times New Roman" w:eastAsia="宋体"/>
                <w:b w:val="0"/>
                <w:color w:val="222222"/>
                <w:sz w:val="20"/>
              </w:rPr>
              <w:t>账号管理</w:t>
            </w:r>
          </w:p>
        </w:tc>
        <w:tc>
          <w:tcPr>
            <w:tcW w:type="dxa" w:w="6973"/>
          </w:tcPr>
          <w:p>
            <w:pPr>
              <w:spacing w:after="40" w:lineRule="exact" w:line="360"/>
            </w:pPr>
            <w:r/>
            <w:r>
              <w:rPr>
                <w:rFonts w:ascii="Times New Roman" w:hAnsi="Times New Roman" w:eastAsia="宋体"/>
                <w:b w:val="0"/>
                <w:color w:val="222222"/>
                <w:sz w:val="20"/>
              </w:rPr>
              <w:t>用户注册、用户登录、退出登录、路由访问控制</w:t>
            </w:r>
          </w:p>
        </w:tc>
      </w:tr>
      <w:tr>
        <w:tc>
          <w:tcPr>
            <w:tcW w:type="dxa" w:w="1814"/>
          </w:tcPr>
          <w:p>
            <w:pPr>
              <w:spacing w:after="40" w:lineRule="exact" w:line="360"/>
            </w:pPr>
            <w:r/>
            <w:r>
              <w:rPr>
                <w:rFonts w:ascii="Times New Roman" w:hAnsi="Times New Roman" w:eastAsia="宋体"/>
                <w:b w:val="0"/>
                <w:color w:val="222222"/>
                <w:sz w:val="20"/>
              </w:rPr>
              <w:t>节点配对</w:t>
            </w:r>
          </w:p>
        </w:tc>
        <w:tc>
          <w:tcPr>
            <w:tcW w:type="dxa" w:w="6973"/>
          </w:tcPr>
          <w:p>
            <w:pPr>
              <w:spacing w:after="40" w:lineRule="exact" w:line="360"/>
            </w:pPr>
            <w:r/>
            <w:r>
              <w:rPr>
                <w:rFonts w:ascii="Times New Roman" w:hAnsi="Times New Roman" w:eastAsia="宋体"/>
                <w:b w:val="0"/>
                <w:color w:val="222222"/>
                <w:sz w:val="20"/>
              </w:rPr>
              <w:t>配对码生成、配对授权、一键配对、环境诊断、解除配对</w:t>
            </w:r>
          </w:p>
        </w:tc>
      </w:tr>
      <w:tr>
        <w:tc>
          <w:tcPr>
            <w:tcW w:type="dxa" w:w="1814"/>
          </w:tcPr>
          <w:p>
            <w:pPr>
              <w:spacing w:after="40" w:lineRule="exact" w:line="360"/>
            </w:pPr>
            <w:r/>
            <w:r>
              <w:rPr>
                <w:rFonts w:ascii="Times New Roman" w:hAnsi="Times New Roman" w:eastAsia="宋体"/>
                <w:b w:val="0"/>
                <w:color w:val="222222"/>
                <w:sz w:val="20"/>
              </w:rPr>
              <w:t>数据集</w:t>
            </w:r>
          </w:p>
        </w:tc>
        <w:tc>
          <w:tcPr>
            <w:tcW w:type="dxa" w:w="6973"/>
          </w:tcPr>
          <w:p>
            <w:pPr>
              <w:spacing w:after="40" w:lineRule="exact" w:line="360"/>
            </w:pPr>
            <w:r/>
            <w:r>
              <w:rPr>
                <w:rFonts w:ascii="Times New Roman" w:hAnsi="Times New Roman" w:eastAsia="宋体"/>
                <w:b w:val="0"/>
                <w:color w:val="222222"/>
                <w:sz w:val="20"/>
              </w:rPr>
              <w:t>H5AD 结构检测、标签/批次选择、稀有阈值设置、数据集注册、分布可视化</w:t>
            </w:r>
          </w:p>
        </w:tc>
      </w:tr>
      <w:tr>
        <w:tc>
          <w:tcPr>
            <w:tcW w:type="dxa" w:w="1814"/>
          </w:tcPr>
          <w:p>
            <w:pPr>
              <w:spacing w:after="40" w:lineRule="exact" w:line="360"/>
            </w:pPr>
            <w:r/>
            <w:r>
              <w:rPr>
                <w:rFonts w:ascii="Times New Roman" w:hAnsi="Times New Roman" w:eastAsia="宋体"/>
                <w:b w:val="0"/>
                <w:color w:val="222222"/>
                <w:sz w:val="20"/>
              </w:rPr>
              <w:t>实验</w:t>
            </w:r>
          </w:p>
        </w:tc>
        <w:tc>
          <w:tcPr>
            <w:tcW w:type="dxa" w:w="6973"/>
          </w:tcPr>
          <w:p>
            <w:pPr>
              <w:spacing w:after="40" w:lineRule="exact" w:line="360"/>
            </w:pPr>
            <w:r/>
            <w:r>
              <w:rPr>
                <w:rFonts w:ascii="Times New Roman" w:hAnsi="Times New Roman" w:eastAsia="宋体"/>
                <w:b w:val="0"/>
                <w:color w:val="222222"/>
                <w:sz w:val="20"/>
              </w:rPr>
              <w:t>注释评估实验、稀有识别实验、三种 Rare Mode、目标稀有类选择、实验列表</w:t>
            </w:r>
          </w:p>
        </w:tc>
      </w:tr>
      <w:tr>
        <w:tc>
          <w:tcPr>
            <w:tcW w:type="dxa" w:w="1814"/>
          </w:tcPr>
          <w:p>
            <w:pPr>
              <w:spacing w:after="40" w:lineRule="exact" w:line="360"/>
            </w:pPr>
            <w:r/>
            <w:r>
              <w:rPr>
                <w:rFonts w:ascii="Times New Roman" w:hAnsi="Times New Roman" w:eastAsia="宋体"/>
                <w:b w:val="0"/>
                <w:color w:val="222222"/>
                <w:sz w:val="20"/>
              </w:rPr>
              <w:t>方法评估</w:t>
            </w:r>
          </w:p>
        </w:tc>
        <w:tc>
          <w:tcPr>
            <w:tcW w:type="dxa" w:w="6973"/>
          </w:tcPr>
          <w:p>
            <w:pPr>
              <w:spacing w:after="40" w:lineRule="exact" w:line="360"/>
            </w:pPr>
            <w:r/>
            <w:r>
              <w:rPr>
                <w:rFonts w:ascii="Times New Roman" w:hAnsi="Times New Roman" w:eastAsia="宋体"/>
                <w:b w:val="0"/>
                <w:color w:val="222222"/>
                <w:sz w:val="20"/>
              </w:rPr>
              <w:t>预测 CSV 导入、任务下发、进度监控、日志查看、任务同步与取消</w:t>
            </w:r>
          </w:p>
        </w:tc>
      </w:tr>
      <w:tr>
        <w:tc>
          <w:tcPr>
            <w:tcW w:type="dxa" w:w="1814"/>
          </w:tcPr>
          <w:p>
            <w:pPr>
              <w:spacing w:after="40" w:lineRule="exact" w:line="360"/>
            </w:pPr>
            <w:r/>
            <w:r>
              <w:rPr>
                <w:rFonts w:ascii="Times New Roman" w:hAnsi="Times New Roman" w:eastAsia="宋体"/>
                <w:b w:val="0"/>
                <w:color w:val="222222"/>
                <w:sz w:val="20"/>
              </w:rPr>
              <w:t>多方法对比</w:t>
            </w:r>
          </w:p>
        </w:tc>
        <w:tc>
          <w:tcPr>
            <w:tcW w:type="dxa" w:w="6973"/>
          </w:tcPr>
          <w:p>
            <w:pPr>
              <w:spacing w:after="40" w:lineRule="exact" w:line="360"/>
            </w:pPr>
            <w:r/>
            <w:r>
              <w:rPr>
                <w:rFonts w:ascii="Times New Roman" w:hAnsi="Times New Roman" w:eastAsia="宋体"/>
                <w:b w:val="0"/>
                <w:color w:val="222222"/>
                <w:sz w:val="20"/>
              </w:rPr>
              <w:t>对比排行榜、指标排序、交互式图表、混淆矩阵、ROC/PR 曲线</w:t>
            </w:r>
          </w:p>
        </w:tc>
      </w:tr>
      <w:tr>
        <w:tc>
          <w:tcPr>
            <w:tcW w:type="dxa" w:w="1814"/>
          </w:tcPr>
          <w:p>
            <w:pPr>
              <w:spacing w:after="40" w:lineRule="exact" w:line="360"/>
            </w:pPr>
            <w:r/>
            <w:r>
              <w:rPr>
                <w:rFonts w:ascii="Times New Roman" w:hAnsi="Times New Roman" w:eastAsia="宋体"/>
                <w:b w:val="0"/>
                <w:color w:val="222222"/>
                <w:sz w:val="20"/>
              </w:rPr>
              <w:t>报告中心</w:t>
            </w:r>
          </w:p>
        </w:tc>
        <w:tc>
          <w:tcPr>
            <w:tcW w:type="dxa" w:w="6973"/>
          </w:tcPr>
          <w:p>
            <w:pPr>
              <w:spacing w:after="40" w:lineRule="exact" w:line="360"/>
            </w:pPr>
            <w:r/>
            <w:r>
              <w:rPr>
                <w:rFonts w:ascii="Times New Roman" w:hAnsi="Times New Roman" w:eastAsia="宋体"/>
                <w:b w:val="0"/>
                <w:color w:val="222222"/>
                <w:sz w:val="20"/>
              </w:rPr>
              <w:t>报告列表、按实验筛选、在线查看、下载 HTML</w:t>
            </w:r>
          </w:p>
        </w:tc>
      </w:tr>
      <w:tr>
        <w:tc>
          <w:tcPr>
            <w:tcW w:type="dxa" w:w="1814"/>
          </w:tcPr>
          <w:p>
            <w:pPr>
              <w:spacing w:after="40" w:lineRule="exact" w:line="360"/>
            </w:pPr>
            <w:r/>
            <w:r>
              <w:rPr>
                <w:rFonts w:ascii="Times New Roman" w:hAnsi="Times New Roman" w:eastAsia="宋体"/>
                <w:b w:val="0"/>
                <w:color w:val="222222"/>
                <w:sz w:val="20"/>
              </w:rPr>
              <w:t>首页控制台</w:t>
            </w:r>
          </w:p>
        </w:tc>
        <w:tc>
          <w:tcPr>
            <w:tcW w:type="dxa" w:w="6973"/>
          </w:tcPr>
          <w:p>
            <w:pPr>
              <w:spacing w:after="40" w:lineRule="exact" w:line="360"/>
            </w:pPr>
            <w:r/>
            <w:r>
              <w:rPr>
                <w:rFonts w:ascii="Times New Roman" w:hAnsi="Times New Roman" w:eastAsia="宋体"/>
                <w:b w:val="0"/>
                <w:color w:val="222222"/>
                <w:sz w:val="20"/>
              </w:rPr>
              <w:t>统计指标卡片、评估流程说明、快捷入口</w:t>
            </w:r>
          </w:p>
        </w:tc>
      </w:tr>
    </w:tbl>
    <w:p>
      <w:pPr>
        <w:spacing w:after="160"/>
      </w:pPr>
    </w:p>
    <w:p>
      <w:r>
        <w:br w:type="page"/>
      </w:r>
    </w:p>
    <w:p>
      <w:pPr>
        <w:spacing w:before="120" w:after="280"/>
      </w:pPr>
      <w:r>
        <w:rPr>
          <w:rFonts w:ascii="Times New Roman" w:hAnsi="Times New Roman" w:eastAsia="黑体"/>
          <w:b/>
          <w:color w:val="1F3A5F"/>
          <w:sz w:val="36"/>
        </w:rPr>
        <w:t>第 B 章  附录 B　API 接口一览</w:t>
      </w:r>
    </w:p>
    <w:p>
      <w:pPr>
        <w:spacing w:before="240" w:after="160"/>
      </w:pPr>
      <w:r>
        <w:rPr>
          <w:rFonts w:ascii="Times New Roman" w:hAnsi="Times New Roman" w:eastAsia="黑体"/>
          <w:b/>
          <w:color w:val="2C3E50"/>
          <w:sz w:val="28"/>
        </w:rPr>
        <w:t>B.1 Web 后端主要接口</w:t>
      </w:r>
    </w:p>
    <w:p>
      <w:pPr>
        <w:spacing w:after="0" w:lineRule="exact" w:line="360"/>
        <w:ind w:left="480"/>
        <w:shd w:val="clear" w:fill="F2F4F5"/>
      </w:pPr>
      <w:r>
        <w:rPr>
          <w:rFonts w:ascii="Consolas" w:hAnsi="Consolas" w:eastAsia="宋体"/>
          <w:b w:val="0"/>
          <w:color w:val="104010"/>
          <w:sz w:val="20"/>
        </w:rPr>
        <w:t>POST /api/v1/auth/register      用户注册</w:t>
      </w:r>
    </w:p>
    <w:p>
      <w:pPr>
        <w:spacing w:after="0" w:lineRule="exact" w:line="360"/>
        <w:ind w:left="480"/>
        <w:shd w:val="clear" w:fill="F2F4F5"/>
      </w:pPr>
      <w:r>
        <w:rPr>
          <w:rFonts w:ascii="Consolas" w:hAnsi="Consolas" w:eastAsia="宋体"/>
          <w:b w:val="0"/>
          <w:color w:val="104010"/>
          <w:sz w:val="20"/>
        </w:rPr>
        <w:t>POST /api/v1/auth/login         用户登录</w:t>
      </w:r>
    </w:p>
    <w:p>
      <w:pPr>
        <w:spacing w:after="0" w:lineRule="exact" w:line="360"/>
        <w:ind w:left="480"/>
        <w:shd w:val="clear" w:fill="F2F4F5"/>
      </w:pPr>
      <w:r>
        <w:rPr>
          <w:rFonts w:ascii="Consolas" w:hAnsi="Consolas" w:eastAsia="宋体"/>
          <w:b w:val="0"/>
          <w:color w:val="104010"/>
          <w:sz w:val="20"/>
        </w:rPr>
        <w:t>GET  /api/v1/auth/me            获取当前用户</w:t>
      </w:r>
    </w:p>
    <w:p>
      <w:pPr>
        <w:spacing w:after="0" w:lineRule="exact" w:line="360"/>
        <w:ind w:left="480"/>
        <w:shd w:val="clear" w:fill="F2F4F5"/>
      </w:pPr>
      <w:r>
        <w:rPr>
          <w:rFonts w:ascii="Consolas" w:hAnsi="Consolas" w:eastAsia="宋体"/>
          <w:b w:val="0"/>
          <w:color w:val="104010"/>
          <w:sz w:val="20"/>
        </w:rPr>
        <w:t>GET  /api/v1/datasets           数据集列表</w:t>
      </w:r>
    </w:p>
    <w:p>
      <w:pPr>
        <w:spacing w:after="0" w:lineRule="exact" w:line="360"/>
        <w:ind w:left="480"/>
        <w:shd w:val="clear" w:fill="F2F4F5"/>
      </w:pPr>
      <w:r>
        <w:rPr>
          <w:rFonts w:ascii="Consolas" w:hAnsi="Consolas" w:eastAsia="宋体"/>
          <w:b w:val="0"/>
          <w:color w:val="104010"/>
          <w:sz w:val="20"/>
        </w:rPr>
        <w:t>POST /api/v1/datasets           创建数据集</w:t>
      </w:r>
    </w:p>
    <w:p>
      <w:pPr>
        <w:spacing w:after="0" w:lineRule="exact" w:line="360"/>
        <w:ind w:left="480"/>
        <w:shd w:val="clear" w:fill="F2F4F5"/>
      </w:pPr>
      <w:r>
        <w:rPr>
          <w:rFonts w:ascii="Consolas" w:hAnsi="Consolas" w:eastAsia="宋体"/>
          <w:b w:val="0"/>
          <w:color w:val="104010"/>
          <w:sz w:val="20"/>
        </w:rPr>
        <w:t>GET  /api/v1/experiments        实验列表</w:t>
      </w:r>
    </w:p>
    <w:p>
      <w:pPr>
        <w:spacing w:after="0" w:lineRule="exact" w:line="360"/>
        <w:ind w:left="480"/>
        <w:shd w:val="clear" w:fill="F2F4F5"/>
      </w:pPr>
      <w:r>
        <w:rPr>
          <w:rFonts w:ascii="Consolas" w:hAnsi="Consolas" w:eastAsia="宋体"/>
          <w:b w:val="0"/>
          <w:color w:val="104010"/>
          <w:sz w:val="20"/>
        </w:rPr>
        <w:t>POST /api/v1/experiments        创建实验</w:t>
      </w:r>
    </w:p>
    <w:p>
      <w:pPr>
        <w:spacing w:after="0" w:lineRule="exact" w:line="360"/>
        <w:ind w:left="480"/>
        <w:shd w:val="clear" w:fill="F2F4F5"/>
      </w:pPr>
      <w:r>
        <w:rPr>
          <w:rFonts w:ascii="Consolas" w:hAnsi="Consolas" w:eastAsia="宋体"/>
          <w:b w:val="0"/>
          <w:color w:val="104010"/>
          <w:sz w:val="20"/>
        </w:rPr>
        <w:t>POST /api/v1/experiments/{id}/method-runs   添加方法运行</w:t>
      </w:r>
    </w:p>
    <w:p>
      <w:pPr>
        <w:spacing w:after="0" w:lineRule="exact" w:line="360"/>
        <w:ind w:left="480"/>
        <w:shd w:val="clear" w:fill="F2F4F5"/>
      </w:pPr>
      <w:r>
        <w:rPr>
          <w:rFonts w:ascii="Consolas" w:hAnsi="Consolas" w:eastAsia="宋体"/>
          <w:b w:val="0"/>
          <w:color w:val="104010"/>
          <w:sz w:val="20"/>
        </w:rPr>
        <w:t>POST /api/v1/jobs               下发评估任务</w:t>
      </w:r>
    </w:p>
    <w:p>
      <w:pPr>
        <w:spacing w:after="0" w:lineRule="exact" w:line="360"/>
        <w:ind w:left="480"/>
        <w:shd w:val="clear" w:fill="F2F4F5"/>
      </w:pPr>
      <w:r>
        <w:rPr>
          <w:rFonts w:ascii="Consolas" w:hAnsi="Consolas" w:eastAsia="宋体"/>
          <w:b w:val="0"/>
          <w:color w:val="104010"/>
          <w:sz w:val="20"/>
        </w:rPr>
        <w:t>POST /api/v1/jobs/{id}/sync     同步任务状态</w:t>
      </w:r>
    </w:p>
    <w:p>
      <w:pPr>
        <w:spacing w:after="0" w:lineRule="exact" w:line="360"/>
        <w:ind w:left="480"/>
        <w:shd w:val="clear" w:fill="F2F4F5"/>
      </w:pPr>
      <w:r>
        <w:rPr>
          <w:rFonts w:ascii="Consolas" w:hAnsi="Consolas" w:eastAsia="宋体"/>
          <w:b w:val="0"/>
          <w:color w:val="104010"/>
          <w:sz w:val="20"/>
        </w:rPr>
        <w:t>GET  /api/v1/experiments/{id}/comparison    多方法对比</w:t>
      </w:r>
    </w:p>
    <w:p>
      <w:pPr>
        <w:spacing w:after="0" w:lineRule="exact" w:line="360"/>
        <w:ind w:left="480"/>
        <w:shd w:val="clear" w:fill="F2F4F5"/>
      </w:pPr>
      <w:r>
        <w:rPr>
          <w:rFonts w:ascii="Consolas" w:hAnsi="Consolas" w:eastAsia="宋体"/>
          <w:b w:val="0"/>
          <w:color w:val="104010"/>
          <w:sz w:val="20"/>
        </w:rPr>
        <w:t>GET  /api/v1/reports            报告列表</w:t>
      </w:r>
    </w:p>
    <w:p>
      <w:pPr>
        <w:spacing w:after="0" w:lineRule="exact" w:line="360"/>
        <w:ind w:left="480"/>
        <w:shd w:val="clear" w:fill="F2F4F5"/>
      </w:pPr>
      <w:r>
        <w:rPr>
          <w:rFonts w:ascii="Consolas" w:hAnsi="Consolas" w:eastAsia="宋体"/>
          <w:b w:val="0"/>
          <w:color w:val="104010"/>
          <w:sz w:val="20"/>
        </w:rPr>
        <w:t>GET  /api/v1/reports/{id}/download          下载/查看报告</w:t>
      </w:r>
    </w:p>
    <w:p>
      <w:pPr>
        <w:spacing w:after="0" w:lineRule="exact" w:line="360"/>
        <w:ind w:left="480"/>
        <w:shd w:val="clear" w:fill="F2F4F5"/>
      </w:pPr>
      <w:r>
        <w:rPr>
          <w:rFonts w:ascii="Consolas" w:hAnsi="Consolas" w:eastAsia="宋体"/>
          <w:b w:val="0"/>
          <w:color w:val="104010"/>
          <w:sz w:val="20"/>
        </w:rPr>
        <w:t>GET  /api/v1/stats/summary      统计汇总</w:t>
      </w:r>
    </w:p>
    <w:p>
      <w:pPr>
        <w:spacing w:after="160"/>
      </w:pPr>
    </w:p>
    <w:p>
      <w:pPr>
        <w:spacing w:before="240" w:after="160"/>
      </w:pPr>
      <w:r>
        <w:rPr>
          <w:rFonts w:ascii="Times New Roman" w:hAnsi="Times New Roman" w:eastAsia="黑体"/>
          <w:b/>
          <w:color w:val="2C3E50"/>
          <w:sz w:val="28"/>
        </w:rPr>
        <w:t>B.2 Local Agent 主要接口</w:t>
      </w:r>
    </w:p>
    <w:p>
      <w:pPr>
        <w:spacing w:after="0" w:lineRule="exact" w:line="360"/>
        <w:ind w:left="480"/>
        <w:shd w:val="clear" w:fill="F2F4F5"/>
      </w:pPr>
      <w:r>
        <w:rPr>
          <w:rFonts w:ascii="Consolas" w:hAnsi="Consolas" w:eastAsia="宋体"/>
          <w:b w:val="0"/>
          <w:color w:val="104010"/>
          <w:sz w:val="20"/>
        </w:rPr>
        <w:t>GET  /api/v1/local/health                   健康检查</w:t>
      </w:r>
    </w:p>
    <w:p>
      <w:pPr>
        <w:spacing w:after="0" w:lineRule="exact" w:line="360"/>
        <w:ind w:left="480"/>
        <w:shd w:val="clear" w:fill="F2F4F5"/>
      </w:pPr>
      <w:r>
        <w:rPr>
          <w:rFonts w:ascii="Consolas" w:hAnsi="Consolas" w:eastAsia="宋体"/>
          <w:b w:val="0"/>
          <w:color w:val="104010"/>
          <w:sz w:val="20"/>
        </w:rPr>
        <w:t>POST /api/v1/local/pair                     配对授权</w:t>
      </w:r>
    </w:p>
    <w:p>
      <w:pPr>
        <w:spacing w:after="0" w:lineRule="exact" w:line="360"/>
        <w:ind w:left="480"/>
        <w:shd w:val="clear" w:fill="F2F4F5"/>
      </w:pPr>
      <w:r>
        <w:rPr>
          <w:rFonts w:ascii="Consolas" w:hAnsi="Consolas" w:eastAsia="宋体"/>
          <w:b w:val="0"/>
          <w:color w:val="104010"/>
          <w:sz w:val="20"/>
        </w:rPr>
        <w:t>GET  /api/v1/local/env                      环境检测</w:t>
      </w:r>
    </w:p>
    <w:p>
      <w:pPr>
        <w:spacing w:after="0" w:lineRule="exact" w:line="360"/>
        <w:ind w:left="480"/>
        <w:shd w:val="clear" w:fill="F2F4F5"/>
      </w:pPr>
      <w:r>
        <w:rPr>
          <w:rFonts w:ascii="Consolas" w:hAnsi="Consolas" w:eastAsia="宋体"/>
          <w:b w:val="0"/>
          <w:color w:val="104010"/>
          <w:sz w:val="20"/>
        </w:rPr>
        <w:t>POST /api/v1/local/files/select             选择 h5ad 文件</w:t>
      </w:r>
    </w:p>
    <w:p>
      <w:pPr>
        <w:spacing w:after="0" w:lineRule="exact" w:line="360"/>
        <w:ind w:left="480"/>
        <w:shd w:val="clear" w:fill="F2F4F5"/>
      </w:pPr>
      <w:r>
        <w:rPr>
          <w:rFonts w:ascii="Consolas" w:hAnsi="Consolas" w:eastAsia="宋体"/>
          <w:b w:val="0"/>
          <w:color w:val="104010"/>
          <w:sz w:val="20"/>
        </w:rPr>
        <w:t>POST /api/v1/local/files/register-dataset   注册数据集</w:t>
      </w:r>
    </w:p>
    <w:p>
      <w:pPr>
        <w:spacing w:after="0" w:lineRule="exact" w:line="360"/>
        <w:ind w:left="480"/>
        <w:shd w:val="clear" w:fill="F2F4F5"/>
      </w:pPr>
      <w:r>
        <w:rPr>
          <w:rFonts w:ascii="Consolas" w:hAnsi="Consolas" w:eastAsia="宋体"/>
          <w:b w:val="0"/>
          <w:color w:val="104010"/>
          <w:sz w:val="20"/>
        </w:rPr>
        <w:t>POST /api/v1/local/tasks/inspect-dataset    数据集检查任务</w:t>
      </w:r>
    </w:p>
    <w:p>
      <w:pPr>
        <w:spacing w:after="0" w:lineRule="exact" w:line="360"/>
        <w:ind w:left="480"/>
        <w:shd w:val="clear" w:fill="F2F4F5"/>
      </w:pPr>
      <w:r>
        <w:rPr>
          <w:rFonts w:ascii="Consolas" w:hAnsi="Consolas" w:eastAsia="宋体"/>
          <w:b w:val="0"/>
          <w:color w:val="104010"/>
          <w:sz w:val="20"/>
        </w:rPr>
        <w:t>POST /api/v1/local/tasks/evaluate-annotation 注释评估任务</w:t>
      </w:r>
    </w:p>
    <w:p>
      <w:pPr>
        <w:spacing w:after="0" w:lineRule="exact" w:line="360"/>
        <w:ind w:left="480"/>
        <w:shd w:val="clear" w:fill="F2F4F5"/>
      </w:pPr>
      <w:r>
        <w:rPr>
          <w:rFonts w:ascii="Consolas" w:hAnsi="Consolas" w:eastAsia="宋体"/>
          <w:b w:val="0"/>
          <w:color w:val="104010"/>
          <w:sz w:val="20"/>
        </w:rPr>
        <w:t>POST /api/v1/local/tasks/evaluate-rare      稀有识别评估任务</w:t>
      </w:r>
    </w:p>
    <w:p>
      <w:pPr>
        <w:spacing w:after="0" w:lineRule="exact" w:line="360"/>
        <w:ind w:left="480"/>
        <w:shd w:val="clear" w:fill="F2F4F5"/>
      </w:pPr>
      <w:r>
        <w:rPr>
          <w:rFonts w:ascii="Consolas" w:hAnsi="Consolas" w:eastAsia="宋体"/>
          <w:b w:val="0"/>
          <w:color w:val="104010"/>
          <w:sz w:val="20"/>
        </w:rPr>
        <w:t>POST /api/v1/local/tasks/generate-report    报告生成任务</w:t>
      </w:r>
    </w:p>
    <w:p>
      <w:pPr>
        <w:spacing w:after="0" w:lineRule="exact" w:line="360"/>
        <w:ind w:left="480"/>
        <w:shd w:val="clear" w:fill="F2F4F5"/>
      </w:pPr>
      <w:r>
        <w:rPr>
          <w:rFonts w:ascii="Consolas" w:hAnsi="Consolas" w:eastAsia="宋体"/>
          <w:b w:val="0"/>
          <w:color w:val="104010"/>
          <w:sz w:val="20"/>
        </w:rPr>
        <w:t>GET  /api/v1/local/tasks/{id}               任务状态</w:t>
      </w:r>
    </w:p>
    <w:p>
      <w:pPr>
        <w:spacing w:after="0" w:lineRule="exact" w:line="360"/>
        <w:ind w:left="480"/>
        <w:shd w:val="clear" w:fill="F2F4F5"/>
      </w:pPr>
      <w:r>
        <w:rPr>
          <w:rFonts w:ascii="Consolas" w:hAnsi="Consolas" w:eastAsia="宋体"/>
          <w:b w:val="0"/>
          <w:color w:val="104010"/>
          <w:sz w:val="20"/>
        </w:rPr>
        <w:t>GET  /api/v1/local/tasks/{id}/report        获取报告</w:t>
      </w:r>
    </w:p>
    <w:p>
      <w:pPr>
        <w:spacing w:after="160"/>
      </w:pPr>
    </w:p>
    <w:p>
      <w:r>
        <w:br w:type="page"/>
      </w:r>
    </w:p>
    <w:p>
      <w:pPr>
        <w:spacing w:before="120" w:after="280"/>
      </w:pPr>
      <w:r>
        <w:rPr>
          <w:rFonts w:ascii="Times New Roman" w:hAnsi="Times New Roman" w:eastAsia="黑体"/>
          <w:b/>
          <w:color w:val="1F3A5F"/>
          <w:sz w:val="36"/>
        </w:rPr>
        <w:t>第 C 章  附录 C　术语表</w:t>
      </w:r>
    </w:p>
    <w:tbl>
      <w:tblPr>
        <w:tblStyle w:val="TableGrid"/>
        <w:tblW w:type="auto" w:w="0"/>
        <w:jc w:val="center"/>
        <w:tblLook w:firstColumn="1" w:firstRow="1" w:lastColumn="0" w:lastRow="0" w:noHBand="0" w:noVBand="1" w:val="04A0"/>
      </w:tblPr>
      <w:tblGrid>
        <w:gridCol w:w="4320"/>
        <w:gridCol w:w="4320"/>
      </w:tblGrid>
      <w:tr>
        <w:tc>
          <w:tcPr>
            <w:tcW w:type="dxa" w:w="1984"/>
            <w:shd w:val="clear" w:fill="2C3E50"/>
          </w:tcPr>
          <w:p>
            <w:pPr>
              <w:jc w:val="center"/>
            </w:pPr>
            <w:r/>
            <w:r>
              <w:rPr>
                <w:rFonts w:ascii="Times New Roman" w:hAnsi="Times New Roman" w:eastAsia="黑体"/>
                <w:b/>
                <w:color w:val="FFFFFF"/>
                <w:sz w:val="21"/>
              </w:rPr>
              <w:t>术语</w:t>
            </w:r>
          </w:p>
        </w:tc>
        <w:tc>
          <w:tcPr>
            <w:tcW w:type="dxa" w:w="6803"/>
            <w:shd w:val="clear" w:fill="2C3E50"/>
          </w:tcPr>
          <w:p>
            <w:pPr>
              <w:jc w:val="center"/>
            </w:pPr>
            <w:r/>
            <w:r>
              <w:rPr>
                <w:rFonts w:ascii="Times New Roman" w:hAnsi="Times New Roman" w:eastAsia="黑体"/>
                <w:b/>
                <w:color w:val="FFFFFF"/>
                <w:sz w:val="21"/>
              </w:rPr>
              <w:t>说明</w:t>
            </w:r>
          </w:p>
        </w:tc>
      </w:tr>
      <w:tr>
        <w:tc>
          <w:tcPr>
            <w:tcW w:type="dxa" w:w="1984"/>
          </w:tcPr>
          <w:p>
            <w:pPr>
              <w:spacing w:after="40" w:lineRule="exact" w:line="360"/>
            </w:pPr>
            <w:r/>
            <w:r>
              <w:rPr>
                <w:rFonts w:ascii="Times New Roman" w:hAnsi="Times New Roman" w:eastAsia="宋体"/>
                <w:b w:val="0"/>
                <w:color w:val="222222"/>
                <w:sz w:val="20"/>
              </w:rPr>
              <w:t>scRNA-seq</w:t>
            </w:r>
          </w:p>
        </w:tc>
        <w:tc>
          <w:tcPr>
            <w:tcW w:type="dxa" w:w="6803"/>
          </w:tcPr>
          <w:p>
            <w:pPr>
              <w:spacing w:after="40" w:lineRule="exact" w:line="360"/>
            </w:pPr>
            <w:r/>
            <w:r>
              <w:rPr>
                <w:rFonts w:ascii="Times New Roman" w:hAnsi="Times New Roman" w:eastAsia="宋体"/>
                <w:b w:val="0"/>
                <w:color w:val="222222"/>
                <w:sz w:val="20"/>
              </w:rPr>
              <w:t>单细胞 RNA 测序，single-cell RNA sequencing</w:t>
            </w:r>
          </w:p>
        </w:tc>
      </w:tr>
      <w:tr>
        <w:tc>
          <w:tcPr>
            <w:tcW w:type="dxa" w:w="1984"/>
          </w:tcPr>
          <w:p>
            <w:pPr>
              <w:spacing w:after="40" w:lineRule="exact" w:line="360"/>
            </w:pPr>
            <w:r/>
            <w:r>
              <w:rPr>
                <w:rFonts w:ascii="Times New Roman" w:hAnsi="Times New Roman" w:eastAsia="宋体"/>
                <w:b w:val="0"/>
                <w:color w:val="222222"/>
                <w:sz w:val="20"/>
              </w:rPr>
              <w:t>h5ad</w:t>
            </w:r>
          </w:p>
        </w:tc>
        <w:tc>
          <w:tcPr>
            <w:tcW w:type="dxa" w:w="6803"/>
          </w:tcPr>
          <w:p>
            <w:pPr>
              <w:spacing w:after="40" w:lineRule="exact" w:line="360"/>
            </w:pPr>
            <w:r/>
            <w:r>
              <w:rPr>
                <w:rFonts w:ascii="Times New Roman" w:hAnsi="Times New Roman" w:eastAsia="宋体"/>
                <w:b w:val="0"/>
                <w:color w:val="222222"/>
                <w:sz w:val="20"/>
              </w:rPr>
              <w:t>AnnData 对象的标准存储格式，单细胞数据常用文件格式</w:t>
            </w:r>
          </w:p>
        </w:tc>
      </w:tr>
      <w:tr>
        <w:tc>
          <w:tcPr>
            <w:tcW w:type="dxa" w:w="1984"/>
          </w:tcPr>
          <w:p>
            <w:pPr>
              <w:spacing w:after="40" w:lineRule="exact" w:line="360"/>
            </w:pPr>
            <w:r/>
            <w:r>
              <w:rPr>
                <w:rFonts w:ascii="Times New Roman" w:hAnsi="Times New Roman" w:eastAsia="宋体"/>
                <w:b w:val="0"/>
                <w:color w:val="222222"/>
                <w:sz w:val="20"/>
              </w:rPr>
              <w:t>AnnData</w:t>
            </w:r>
          </w:p>
        </w:tc>
        <w:tc>
          <w:tcPr>
            <w:tcW w:type="dxa" w:w="6803"/>
          </w:tcPr>
          <w:p>
            <w:pPr>
              <w:spacing w:after="40" w:lineRule="exact" w:line="360"/>
            </w:pPr>
            <w:r/>
            <w:r>
              <w:rPr>
                <w:rFonts w:ascii="Times New Roman" w:hAnsi="Times New Roman" w:eastAsia="宋体"/>
                <w:b w:val="0"/>
                <w:color w:val="222222"/>
                <w:sz w:val="20"/>
              </w:rPr>
              <w:t>单细胞分析中用于存储表达矩阵及注释的数据结构</w:t>
            </w:r>
          </w:p>
        </w:tc>
      </w:tr>
      <w:tr>
        <w:tc>
          <w:tcPr>
            <w:tcW w:type="dxa" w:w="1984"/>
          </w:tcPr>
          <w:p>
            <w:pPr>
              <w:spacing w:after="40" w:lineRule="exact" w:line="360"/>
            </w:pPr>
            <w:r/>
            <w:r>
              <w:rPr>
                <w:rFonts w:ascii="Times New Roman" w:hAnsi="Times New Roman" w:eastAsia="宋体"/>
                <w:b w:val="0"/>
                <w:color w:val="222222"/>
                <w:sz w:val="20"/>
              </w:rPr>
              <w:t>obs / var</w:t>
            </w:r>
          </w:p>
        </w:tc>
        <w:tc>
          <w:tcPr>
            <w:tcW w:type="dxa" w:w="6803"/>
          </w:tcPr>
          <w:p>
            <w:pPr>
              <w:spacing w:after="40" w:lineRule="exact" w:line="360"/>
            </w:pPr>
            <w:r/>
            <w:r>
              <w:rPr>
                <w:rFonts w:ascii="Times New Roman" w:hAnsi="Times New Roman" w:eastAsia="宋体"/>
                <w:b w:val="0"/>
                <w:color w:val="222222"/>
                <w:sz w:val="20"/>
              </w:rPr>
              <w:t>AnnData 中的观测（细胞）注释与变量（基因）注释</w:t>
            </w:r>
          </w:p>
        </w:tc>
      </w:tr>
      <w:tr>
        <w:tc>
          <w:tcPr>
            <w:tcW w:type="dxa" w:w="1984"/>
          </w:tcPr>
          <w:p>
            <w:pPr>
              <w:spacing w:after="40" w:lineRule="exact" w:line="360"/>
            </w:pPr>
            <w:r/>
            <w:r>
              <w:rPr>
                <w:rFonts w:ascii="Times New Roman" w:hAnsi="Times New Roman" w:eastAsia="宋体"/>
                <w:b w:val="0"/>
                <w:color w:val="222222"/>
                <w:sz w:val="20"/>
              </w:rPr>
              <w:t>label_col</w:t>
            </w:r>
          </w:p>
        </w:tc>
        <w:tc>
          <w:tcPr>
            <w:tcW w:type="dxa" w:w="6803"/>
          </w:tcPr>
          <w:p>
            <w:pPr>
              <w:spacing w:after="40" w:lineRule="exact" w:line="360"/>
            </w:pPr>
            <w:r/>
            <w:r>
              <w:rPr>
                <w:rFonts w:ascii="Times New Roman" w:hAnsi="Times New Roman" w:eastAsia="宋体"/>
                <w:b w:val="0"/>
                <w:color w:val="222222"/>
                <w:sz w:val="20"/>
              </w:rPr>
              <w:t>真实细胞类型注释列，作为评估真值</w:t>
            </w:r>
          </w:p>
        </w:tc>
      </w:tr>
      <w:tr>
        <w:tc>
          <w:tcPr>
            <w:tcW w:type="dxa" w:w="1984"/>
          </w:tcPr>
          <w:p>
            <w:pPr>
              <w:spacing w:after="40" w:lineRule="exact" w:line="360"/>
            </w:pPr>
            <w:r/>
            <w:r>
              <w:rPr>
                <w:rFonts w:ascii="Times New Roman" w:hAnsi="Times New Roman" w:eastAsia="宋体"/>
                <w:b w:val="0"/>
                <w:color w:val="222222"/>
                <w:sz w:val="20"/>
              </w:rPr>
              <w:t>稀有细胞</w:t>
            </w:r>
          </w:p>
        </w:tc>
        <w:tc>
          <w:tcPr>
            <w:tcW w:type="dxa" w:w="6803"/>
          </w:tcPr>
          <w:p>
            <w:pPr>
              <w:spacing w:after="40" w:lineRule="exact" w:line="360"/>
            </w:pPr>
            <w:r/>
            <w:r>
              <w:rPr>
                <w:rFonts w:ascii="Times New Roman" w:hAnsi="Times New Roman" w:eastAsia="宋体"/>
                <w:b w:val="0"/>
                <w:color w:val="222222"/>
                <w:sz w:val="20"/>
              </w:rPr>
              <w:t>在数据集中占比很低的细胞类型</w:t>
            </w:r>
          </w:p>
        </w:tc>
      </w:tr>
      <w:tr>
        <w:tc>
          <w:tcPr>
            <w:tcW w:type="dxa" w:w="1984"/>
          </w:tcPr>
          <w:p>
            <w:pPr>
              <w:spacing w:after="40" w:lineRule="exact" w:line="360"/>
            </w:pPr>
            <w:r/>
            <w:r>
              <w:rPr>
                <w:rFonts w:ascii="Times New Roman" w:hAnsi="Times New Roman" w:eastAsia="宋体"/>
                <w:b w:val="0"/>
                <w:color w:val="222222"/>
                <w:sz w:val="20"/>
              </w:rPr>
              <w:t>Method Run</w:t>
            </w:r>
          </w:p>
        </w:tc>
        <w:tc>
          <w:tcPr>
            <w:tcW w:type="dxa" w:w="6803"/>
          </w:tcPr>
          <w:p>
            <w:pPr>
              <w:spacing w:after="40" w:lineRule="exact" w:line="360"/>
            </w:pPr>
            <w:r/>
            <w:r>
              <w:rPr>
                <w:rFonts w:ascii="Times New Roman" w:hAnsi="Times New Roman" w:eastAsia="宋体"/>
                <w:b w:val="0"/>
                <w:color w:val="222222"/>
                <w:sz w:val="20"/>
              </w:rPr>
              <w:t>某方法在某实验下的一次结果导入或运行</w:t>
            </w:r>
          </w:p>
        </w:tc>
      </w:tr>
      <w:tr>
        <w:tc>
          <w:tcPr>
            <w:tcW w:type="dxa" w:w="1984"/>
          </w:tcPr>
          <w:p>
            <w:pPr>
              <w:spacing w:after="40" w:lineRule="exact" w:line="360"/>
            </w:pPr>
            <w:r/>
            <w:r>
              <w:rPr>
                <w:rFonts w:ascii="Times New Roman" w:hAnsi="Times New Roman" w:eastAsia="宋体"/>
                <w:b w:val="0"/>
                <w:color w:val="222222"/>
                <w:sz w:val="20"/>
              </w:rPr>
              <w:t>session_token</w:t>
            </w:r>
          </w:p>
        </w:tc>
        <w:tc>
          <w:tcPr>
            <w:tcW w:type="dxa" w:w="6803"/>
          </w:tcPr>
          <w:p>
            <w:pPr>
              <w:spacing w:after="40" w:lineRule="exact" w:line="360"/>
            </w:pPr>
            <w:r/>
            <w:r>
              <w:rPr>
                <w:rFonts w:ascii="Times New Roman" w:hAnsi="Times New Roman" w:eastAsia="宋体"/>
                <w:b w:val="0"/>
                <w:color w:val="222222"/>
                <w:sz w:val="20"/>
              </w:rPr>
              <w:t>配对成功后用于本地 Agent 访问鉴权的会话令牌</w:t>
            </w:r>
          </w:p>
        </w:tc>
      </w:tr>
      <w:tr>
        <w:tc>
          <w:tcPr>
            <w:tcW w:type="dxa" w:w="1984"/>
          </w:tcPr>
          <w:p>
            <w:pPr>
              <w:spacing w:after="40" w:lineRule="exact" w:line="360"/>
            </w:pPr>
            <w:r/>
            <w:r>
              <w:rPr>
                <w:rFonts w:ascii="Times New Roman" w:hAnsi="Times New Roman" w:eastAsia="宋体"/>
                <w:b w:val="0"/>
                <w:color w:val="222222"/>
                <w:sz w:val="20"/>
              </w:rPr>
              <w:t>Macro-F1</w:t>
            </w:r>
          </w:p>
        </w:tc>
        <w:tc>
          <w:tcPr>
            <w:tcW w:type="dxa" w:w="6803"/>
          </w:tcPr>
          <w:p>
            <w:pPr>
              <w:spacing w:after="40" w:lineRule="exact" w:line="360"/>
            </w:pPr>
            <w:r/>
            <w:r>
              <w:rPr>
                <w:rFonts w:ascii="Times New Roman" w:hAnsi="Times New Roman" w:eastAsia="宋体"/>
                <w:b w:val="0"/>
                <w:color w:val="222222"/>
                <w:sz w:val="20"/>
              </w:rPr>
              <w:t>各类别 F1 分数的宏平均</w:t>
            </w:r>
          </w:p>
        </w:tc>
      </w:tr>
      <w:tr>
        <w:tc>
          <w:tcPr>
            <w:tcW w:type="dxa" w:w="1984"/>
          </w:tcPr>
          <w:p>
            <w:pPr>
              <w:spacing w:after="40" w:lineRule="exact" w:line="360"/>
            </w:pPr>
            <w:r/>
            <w:r>
              <w:rPr>
                <w:rFonts w:ascii="Times New Roman" w:hAnsi="Times New Roman" w:eastAsia="宋体"/>
                <w:b w:val="0"/>
                <w:color w:val="222222"/>
                <w:sz w:val="20"/>
              </w:rPr>
              <w:t>AUROC / AUPRC</w:t>
            </w:r>
          </w:p>
        </w:tc>
        <w:tc>
          <w:tcPr>
            <w:tcW w:type="dxa" w:w="6803"/>
          </w:tcPr>
          <w:p>
            <w:pPr>
              <w:spacing w:after="40" w:lineRule="exact" w:line="360"/>
            </w:pPr>
            <w:r/>
            <w:r>
              <w:rPr>
                <w:rFonts w:ascii="Times New Roman" w:hAnsi="Times New Roman" w:eastAsia="宋体"/>
                <w:b w:val="0"/>
                <w:color w:val="222222"/>
                <w:sz w:val="20"/>
              </w:rPr>
              <w:t>ROC 曲线下面积 / PR 曲线下面积</w:t>
            </w:r>
          </w:p>
        </w:tc>
      </w:tr>
      <w:tr>
        <w:tc>
          <w:tcPr>
            <w:tcW w:type="dxa" w:w="1984"/>
          </w:tcPr>
          <w:p>
            <w:pPr>
              <w:spacing w:after="40" w:lineRule="exact" w:line="360"/>
            </w:pPr>
            <w:r/>
            <w:r>
              <w:rPr>
                <w:rFonts w:ascii="Times New Roman" w:hAnsi="Times New Roman" w:eastAsia="宋体"/>
                <w:b w:val="0"/>
                <w:color w:val="222222"/>
                <w:sz w:val="20"/>
              </w:rPr>
              <w:t>FRR</w:t>
            </w:r>
          </w:p>
        </w:tc>
        <w:tc>
          <w:tcPr>
            <w:tcW w:type="dxa" w:w="6803"/>
          </w:tcPr>
          <w:p>
            <w:pPr>
              <w:spacing w:after="40" w:lineRule="exact" w:line="360"/>
            </w:pPr>
            <w:r/>
            <w:r>
              <w:rPr>
                <w:rFonts w:ascii="Times New Roman" w:hAnsi="Times New Roman" w:eastAsia="宋体"/>
                <w:b w:val="0"/>
                <w:color w:val="222222"/>
                <w:sz w:val="20"/>
              </w:rPr>
              <w:t>False Rescue Rate，错误挽救率</w:t>
            </w:r>
          </w:p>
        </w:tc>
      </w:tr>
    </w:tbl>
    <w:p>
      <w:pPr>
        <w:spacing w:after="160"/>
      </w:pPr>
    </w:p>
    <w:p/>
    <w:p>
      <w:pPr>
        <w:jc w:val="center"/>
      </w:pPr>
      <w:r>
        <w:rPr>
          <w:rFonts w:ascii="Times New Roman" w:hAnsi="Times New Roman" w:eastAsia="黑体"/>
          <w:b/>
          <w:color w:val="666666"/>
          <w:sz w:val="24"/>
        </w:rPr>
        <w:t>—— 本手册完 ——</w:t>
      </w:r>
    </w:p>
    <w:p>
      <w:pPr>
        <w:jc w:val="center"/>
      </w:pPr>
      <w:r>
        <w:rPr>
          <w:rFonts w:ascii="Times New Roman" w:hAnsi="Times New Roman" w:eastAsia="宋体"/>
          <w:b w:val="0"/>
          <w:color w:val="666666"/>
          <w:sz w:val="20"/>
        </w:rPr>
        <w:t>单细胞细胞类型注释与稀有细胞识别多方法评估系统 V1.0</w:t>
      </w:r>
    </w:p>
    <w:sectPr w:rsidR="00FC693F" w:rsidRPr="0006063C" w:rsidSect="00034616">
      <w:headerReference w:type="default" r:id="rId23"/>
      <w:footerReference w:type="default" r:id="rId24"/>
      <w:pgSz w:w="11906" w:h="16838"/>
      <w:pgMar w:top="1417" w:right="1417" w:bottom="1247" w:left="1417" w:header="794"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666666"/>
        <w:sz w:val="18"/>
      </w:rPr>
      <w:t xml:space="preserve">第 </w:t>
    </w:r>
    <w:r>
      <w:rPr>
        <w:rFonts w:ascii="Times New Roman" w:hAnsi="Times New Roman" w:eastAsia="宋体"/>
        <w:b w:val="0"/>
        <w:color w:val="666666"/>
        <w:sz w:val="18"/>
      </w:rPr>
      <w:fldChar w:fldCharType="begin"/>
      <w:instrText xml:space="preserve">PAGE</w:instrText>
      <w:fldChar w:fldCharType="end"/>
    </w:r>
    <w:r>
      <w:rPr>
        <w:rFonts w:ascii="Times New Roman" w:hAnsi="Times New Roman" w:eastAsia="宋体"/>
        <w:b w:val="0"/>
        <w:color w:val="666666"/>
        <w:sz w:val="18"/>
      </w:rPr>
      <w:t xml:space="preserve"> 页 / 共 </w:t>
    </w:r>
    <w:r>
      <w:rPr>
        <w:rFonts w:ascii="Times New Roman" w:hAnsi="Times New Roman" w:eastAsia="宋体"/>
        <w:b w:val="0"/>
        <w:color w:val="666666"/>
        <w:sz w:val="18"/>
      </w:rPr>
      <w:fldChar w:fldCharType="begin"/>
      <w:instrText xml:space="preserve">NUMPAGES</w:instrText>
      <w:fldChar w:fldCharType="end"/>
    </w:r>
    <w:r>
      <w:rPr>
        <w:rFonts w:ascii="Times New Roman" w:hAnsi="Times New Roman" w:eastAsia="宋体"/>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BBBBBB"/>
      </w:pBdr>
    </w:pPr>
    <w:r>
      <w:rPr>
        <w:rFonts w:ascii="Times New Roman" w:hAnsi="Times New Roman" w:eastAsia="宋体"/>
        <w:b w:val="0"/>
        <w:color w:val="666666"/>
        <w:sz w:val="18"/>
      </w:rPr>
      <w:t>单细胞细胞类型注释与稀有细胞识别多方法评估系统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