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Monitoramento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4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ascii="JetBrains Mono" w:hAnsi="JetBrains Mono"/>
          <w:b w:val="false"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>monitoramento</w:t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/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ascii="JetBrains Mono" w:hAnsi="JetBrains Mono"/>
          <w:b w:val="false"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>monitoramento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http://localhost:8080/monitoramento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sucesso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  <w:lang w:val="en-US"/>
        </w:rPr>
        <w:t>[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"data"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"2020-11-18T01:45:17.417"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/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JetBrains Mono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LibreOffice/6.4.4.2$Linux_X86_64 LibreOffice_project/40$Build-2</Application>
  <Pages>3</Pages>
  <Words>37</Words>
  <Characters>230</Characters>
  <CharactersWithSpaces>316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2020-11-19T22:13:19Z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