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Vaso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02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eastAsia="Calibri" w:cs="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0"/>
          <w:sz w:val="32"/>
          <w:szCs w:val="32"/>
          <w:lang w:val="en-US" w:eastAsia="en-US" w:bidi="ar-SA"/>
        </w:rPr>
        <w:t>vaso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8"/>
          <w:szCs w:val="28"/>
          <w:lang w:val="en-US"/>
        </w:rPr>
        <w:t>vaso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URL: http://localhost:8080/vaso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highlight w:val="white"/>
        </w:rPr>
        <w:t>[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"monitoramento"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{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"2020-11-18"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/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spacing w:before="0" w:after="160"/>
        <w:ind w:left="-1080" w:hanging="0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LibreOffice/6.4.4.2$Linux_X86_64 LibreOffice_project/40$Build-2</Application>
  <Pages>2</Pages>
  <Words>45</Words>
  <Characters>243</Characters>
  <CharactersWithSpaces>333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2020-11-19T22:23:16Z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