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UNIVERSIDADE DO ESTADO DE MINAS GERAIS - UEMG</w:t>
      </w:r>
    </w:p>
    <w:p>
      <w:pPr>
        <w:jc w:val="center"/>
      </w:pPr>
      <w:r>
        <w:rPr>
          <w:rFonts w:ascii="Times New Roman" w:hAnsi="Times New Roman"/>
          <w:b/>
          <w:sz w:val="24"/>
        </w:rPr>
        <w:t>CURSO DE SISTEMAS DE INFORMAÇÃO</w:t>
      </w:r>
    </w:p>
    <w:p>
      <w:pPr>
        <w:jc w:val="center"/>
      </w:pPr>
      <w:r>
        <w:rPr>
          <w:rFonts w:ascii="Times New Roman" w:hAnsi="Times New Roman"/>
          <w:b/>
          <w:sz w:val="24"/>
        </w:rPr>
        <w:t>DISCIPLINA: CIÊNCIA DE DADOS</w:t>
      </w:r>
    </w:p>
    <w:p>
      <w:r>
        <w:rPr>
          <w:rFonts w:ascii="Times New Roman" w:hAnsi="Times New Roman"/>
        </w:rPr>
        <w:br/>
        <w:br/>
      </w:r>
    </w:p>
    <w:p>
      <w:pPr>
        <w:jc w:val="center"/>
      </w:pPr>
      <w:r>
        <w:rPr>
          <w:rFonts w:ascii="Times New Roman" w:hAnsi="Times New Roman"/>
          <w:b/>
          <w:sz w:val="32"/>
        </w:rPr>
        <w:t>PREDIÇÃO DO ABANDONO ESCOLAR NOS MUNICÍPIOS DE MINAS GERAIS</w:t>
      </w:r>
    </w:p>
    <w:p>
      <w:pPr>
        <w:jc w:val="center"/>
      </w:pPr>
      <w:r>
        <w:rPr>
          <w:rFonts w:ascii="Times New Roman" w:hAnsi="Times New Roman"/>
          <w:sz w:val="24"/>
        </w:rPr>
        <w:t>Projeto de Ciência de Dados com dados públicos do INEP</w:t>
      </w:r>
    </w:p>
    <w:p>
      <w:r>
        <w:rPr>
          <w:rFonts w:ascii="Times New Roman" w:hAnsi="Times New Roman"/>
        </w:rPr>
        <w:br/>
        <w:br/>
      </w:r>
    </w:p>
    <w:p>
      <w:pPr>
        <w:jc w:val="center"/>
      </w:pPr>
      <w:r>
        <w:rPr>
          <w:rFonts w:ascii="Times New Roman" w:hAnsi="Times New Roman"/>
          <w:sz w:val="24"/>
        </w:rPr>
        <w:t>Discente(s): Ranielly Patrícia Resende de Almeida</w:t>
      </w:r>
    </w:p>
    <w:p>
      <w:pPr>
        <w:jc w:val="center"/>
      </w:pPr>
      <w:r>
        <w:rPr>
          <w:rFonts w:ascii="Times New Roman" w:hAnsi="Times New Roman"/>
          <w:sz w:val="24"/>
        </w:rPr>
        <w:t>Docente: Ivan José dos Reis Filho</w:t>
      </w:r>
    </w:p>
    <w:p>
      <w:r>
        <w:rPr>
          <w:rFonts w:ascii="Times New Roman" w:hAnsi="Times New Roman"/>
        </w:rPr>
        <w:br/>
        <w:br/>
        <w:br/>
        <w:br/>
      </w:r>
    </w:p>
    <w:p>
      <w:pPr>
        <w:jc w:val="center"/>
      </w:pPr>
      <w:r>
        <w:rPr>
          <w:rFonts w:ascii="Times New Roman" w:hAnsi="Times New Roman"/>
          <w:sz w:val="24"/>
        </w:rPr>
        <w:t>Frutal - MG</w:t>
        <w:br/>
        <w:t>2026</w:t>
      </w:r>
    </w:p>
    <w:p>
      <w:r>
        <w:rPr>
          <w:rFonts w:ascii="Times New Roman" w:hAnsi="Times New Roman"/>
        </w:rPr>
        <w:br w:type="page"/>
      </w:r>
    </w:p>
    <w:p>
      <w:pPr>
        <w:pStyle w:val="Heading1"/>
      </w:pPr>
      <w:r>
        <w:rPr>
          <w:rFonts w:ascii="Times New Roman" w:hAnsi="Times New Roman"/>
        </w:rPr>
        <w:t>Resumo</w:t>
      </w:r>
    </w:p>
    <w:p>
      <w:pPr>
        <w:spacing w:after="120" w:line="276" w:lineRule="auto"/>
        <w:ind w:firstLine="709"/>
      </w:pPr>
      <w:r>
        <w:rPr>
          <w:rFonts w:ascii="Times New Roman" w:hAnsi="Times New Roman"/>
          <w:sz w:val="24"/>
        </w:rPr>
        <w:t>Este trabalho apresenta um projeto completo de Ciência de Dados aplicado à educação pública, com o objetivo de prever a classe de risco de abandono escolar dos municípios de Minas Gerais a partir de indicadores educacionais públicos disponibilizados pelo Instituto Nacional de Estudos e Pesquisas Educacionais Anísio Teixeira (INEP). A unidade de análise adotada foi o município, e o recorte principal considera o ano de 2023, os Anos Finais do Ensino Fundamental e a rede pública. A variável-alvo foi construída a partir da Taxa de Abandono Escolar dos Anos Finais, transformada em três classes: baixo risco, médio risco e alto risco. Foram utilizadas como variáveis explicativas o nível socioeconômico, a distorção idade-série, a média de alunos por turma e indicadores de regularidade docente. A análise exploratória mostrou que a maior parte dos municípios apresenta baixa taxa de abandono, mas há casos com valores superiores ao padrão estadual. A Região Geográfica Intermediária de Uberaba foi analisada como recorte regional, e Frutal foi utilizado como estudo de caso. Na etapa de modelagem foram comparados modelos de Regressão Logística, Árvore de Decisão e Random Forest, incluindo versões com balanceamento de classes. O melhor desempenho foi obtido pelo Random Forest Balanceado, com F1-score macro de 0,521. A variável mais importante para o modelo foi a Taxa de Distorção Idade-Série, reforçando a relevância do atraso escolar na compreensão do abandono. O desempenho moderado dos modelos indica que os indicadores selecionados capturam parte dos padrões associados ao abandono, mas também evidencia o caráter multifatorial do fenômeno.</w:t>
      </w:r>
    </w:p>
    <w:p>
      <w:pPr>
        <w:spacing w:after="240"/>
      </w:pPr>
      <w:r>
        <w:rPr>
          <w:rFonts w:ascii="Times New Roman" w:hAnsi="Times New Roman"/>
          <w:b/>
          <w:sz w:val="24"/>
        </w:rPr>
        <w:t>Palavras-chave: abandono escolar; ciência de dados; machine learning; INEP; Minas Gerais; Frutal.</w:t>
      </w:r>
    </w:p>
    <w:p>
      <w:r>
        <w:rPr>
          <w:rFonts w:ascii="Times New Roman" w:hAnsi="Times New Roman"/>
        </w:rPr>
        <w:br w:type="page"/>
      </w:r>
    </w:p>
    <w:p>
      <w:pPr>
        <w:pStyle w:val="Heading1"/>
      </w:pPr>
      <w:r>
        <w:rPr>
          <w:rFonts w:ascii="Times New Roman" w:hAnsi="Times New Roman"/>
        </w:rPr>
        <w:t>Sumário</w:t>
      </w:r>
    </w:p>
    <w:p>
      <w:pPr>
        <w:spacing w:after="40" w:line="276" w:lineRule="auto"/>
      </w:pPr>
      <w:r>
        <w:rPr>
          <w:rFonts w:ascii="Times New Roman" w:hAnsi="Times New Roman"/>
          <w:sz w:val="24"/>
        </w:rPr>
        <w:t>1 Introdução</w:t>
      </w:r>
    </w:p>
    <w:p>
      <w:pPr>
        <w:spacing w:after="40" w:line="276" w:lineRule="auto"/>
      </w:pPr>
      <w:r>
        <w:rPr>
          <w:rFonts w:ascii="Times New Roman" w:hAnsi="Times New Roman"/>
          <w:sz w:val="24"/>
        </w:rPr>
        <w:t>2 Identificação do problema</w:t>
      </w:r>
    </w:p>
    <w:p>
      <w:pPr>
        <w:spacing w:after="40" w:line="276" w:lineRule="auto"/>
      </w:pPr>
      <w:r>
        <w:rPr>
          <w:rFonts w:ascii="Times New Roman" w:hAnsi="Times New Roman"/>
          <w:sz w:val="24"/>
        </w:rPr>
        <w:t>3 Coleta e descrição dos dados</w:t>
      </w:r>
    </w:p>
    <w:p>
      <w:pPr>
        <w:spacing w:after="40" w:line="276" w:lineRule="auto"/>
      </w:pPr>
      <w:r>
        <w:rPr>
          <w:rFonts w:ascii="Times New Roman" w:hAnsi="Times New Roman"/>
          <w:sz w:val="24"/>
        </w:rPr>
        <w:t>4 Pré-processamento e construção do dataset final</w:t>
      </w:r>
    </w:p>
    <w:p>
      <w:pPr>
        <w:spacing w:after="40" w:line="276" w:lineRule="auto"/>
      </w:pPr>
      <w:r>
        <w:rPr>
          <w:rFonts w:ascii="Times New Roman" w:hAnsi="Times New Roman"/>
          <w:sz w:val="24"/>
        </w:rPr>
        <w:t>5 Análise exploratória dos dados</w:t>
      </w:r>
    </w:p>
    <w:p>
      <w:pPr>
        <w:spacing w:after="40" w:line="276" w:lineRule="auto"/>
      </w:pPr>
      <w:r>
        <w:rPr>
          <w:rFonts w:ascii="Times New Roman" w:hAnsi="Times New Roman"/>
          <w:sz w:val="24"/>
        </w:rPr>
        <w:t>6 Criação da variável-alvo categórica</w:t>
      </w:r>
    </w:p>
    <w:p>
      <w:pPr>
        <w:spacing w:after="40" w:line="276" w:lineRule="auto"/>
      </w:pPr>
      <w:r>
        <w:rPr>
          <w:rFonts w:ascii="Times New Roman" w:hAnsi="Times New Roman"/>
          <w:sz w:val="24"/>
        </w:rPr>
        <w:t>7 Modelagem preditiva</w:t>
      </w:r>
    </w:p>
    <w:p>
      <w:pPr>
        <w:spacing w:after="40" w:line="276" w:lineRule="auto"/>
      </w:pPr>
      <w:r>
        <w:rPr>
          <w:rFonts w:ascii="Times New Roman" w:hAnsi="Times New Roman"/>
          <w:sz w:val="24"/>
        </w:rPr>
        <w:t>8 Avaliação dos modelos</w:t>
      </w:r>
    </w:p>
    <w:p>
      <w:pPr>
        <w:spacing w:after="40" w:line="276" w:lineRule="auto"/>
      </w:pPr>
      <w:r>
        <w:rPr>
          <w:rFonts w:ascii="Times New Roman" w:hAnsi="Times New Roman"/>
          <w:sz w:val="24"/>
        </w:rPr>
        <w:t>9 Aplicação prática e estudo de caso de Frutal</w:t>
      </w:r>
    </w:p>
    <w:p>
      <w:pPr>
        <w:spacing w:after="40" w:line="276" w:lineRule="auto"/>
      </w:pPr>
      <w:r>
        <w:rPr>
          <w:rFonts w:ascii="Times New Roman" w:hAnsi="Times New Roman"/>
          <w:sz w:val="24"/>
        </w:rPr>
        <w:t>10 Limitações do estudo</w:t>
      </w:r>
    </w:p>
    <w:p>
      <w:pPr>
        <w:spacing w:after="40" w:line="276" w:lineRule="auto"/>
      </w:pPr>
      <w:r>
        <w:rPr>
          <w:rFonts w:ascii="Times New Roman" w:hAnsi="Times New Roman"/>
          <w:sz w:val="24"/>
        </w:rPr>
        <w:t>11 Conclusão</w:t>
      </w:r>
    </w:p>
    <w:p>
      <w:pPr>
        <w:spacing w:after="40" w:line="276" w:lineRule="auto"/>
      </w:pPr>
      <w:r>
        <w:rPr>
          <w:rFonts w:ascii="Times New Roman" w:hAnsi="Times New Roman"/>
          <w:sz w:val="24"/>
        </w:rPr>
        <w:t>Referências</w:t>
      </w:r>
    </w:p>
    <w:p>
      <w:r>
        <w:rPr>
          <w:rFonts w:ascii="Times New Roman" w:hAnsi="Times New Roman"/>
        </w:rPr>
        <w:br w:type="page"/>
      </w:r>
    </w:p>
    <w:p>
      <w:pPr>
        <w:pStyle w:val="Heading1"/>
      </w:pPr>
      <w:r>
        <w:rPr>
          <w:rFonts w:ascii="Times New Roman" w:hAnsi="Times New Roman"/>
        </w:rPr>
        <w:t>1 Introdução</w:t>
      </w:r>
    </w:p>
    <w:p>
      <w:pPr>
        <w:spacing w:after="120" w:line="276" w:lineRule="auto"/>
        <w:ind w:firstLine="709"/>
      </w:pPr>
      <w:r>
        <w:rPr>
          <w:rFonts w:ascii="Times New Roman" w:hAnsi="Times New Roman"/>
          <w:sz w:val="24"/>
        </w:rPr>
        <w:t>O abandono escolar é um fenômeno educacional relevante por indicar a saída do estudante da escola antes da conclusão de uma etapa de ensino. Em contextos de gestão pública, compreender padrões associados ao abandono pode apoiar ações preventivas, monitoramento de municípios e priorização de políticas educacionais. A Ciência de Dados permite tratar esse problema de forma sistemática, combinando bases públicas, análise exploratória, modelagem estatística e algoritmos de aprendizagem de máquina.</w:t>
      </w:r>
    </w:p>
    <w:p>
      <w:pPr>
        <w:spacing w:after="120" w:line="276" w:lineRule="auto"/>
        <w:ind w:firstLine="709"/>
      </w:pPr>
      <w:r>
        <w:rPr>
          <w:rFonts w:ascii="Times New Roman" w:hAnsi="Times New Roman"/>
          <w:sz w:val="24"/>
        </w:rPr>
        <w:t>Este projeto foi desenvolvido para a disciplina de Ciência de Dados do curso de Sistemas de Informação, seguindo um fluxo semelhante ao adotado em projetos reais de análise de dados: definição do problema, coleta, limpeza, integração das bases, exploração dos dados, criação da variável-alvo, treinamento de modelos, avaliação e interpretação dos resultados.</w:t>
      </w:r>
    </w:p>
    <w:p>
      <w:pPr>
        <w:spacing w:after="120" w:line="276" w:lineRule="auto"/>
        <w:ind w:firstLine="709"/>
      </w:pPr>
      <w:r>
        <w:rPr>
          <w:rFonts w:ascii="Times New Roman" w:hAnsi="Times New Roman"/>
          <w:sz w:val="24"/>
        </w:rPr>
        <w:t>O estudo utiliza exclusivamente bases públicas oficiais do INEP. O foco principal é Minas Gerais, com análise regional da Região Geográfica Intermediária de Uberaba e estudo de caso do município de Frutal. O projeto se caracteriza como uma tarefa de classificação, pois busca classificar municípios em grupos de risco de abandono escolar.</w:t>
      </w:r>
    </w:p>
    <w:p>
      <w:pPr>
        <w:pStyle w:val="Heading1"/>
      </w:pPr>
      <w:r>
        <w:rPr>
          <w:rFonts w:ascii="Times New Roman" w:hAnsi="Times New Roman"/>
        </w:rPr>
        <w:t>2 Identificação do problema</w:t>
      </w:r>
    </w:p>
    <w:p>
      <w:pPr>
        <w:spacing w:after="120" w:line="276" w:lineRule="auto"/>
        <w:ind w:firstLine="709"/>
      </w:pPr>
      <w:r>
        <w:rPr>
          <w:rFonts w:ascii="Times New Roman" w:hAnsi="Times New Roman"/>
          <w:sz w:val="24"/>
        </w:rPr>
        <w:t>O problema de pesquisa que orienta este trabalho é: é possível prever o nível de abandono escolar dos municípios de Minas Gerais utilizando indicadores educacionais públicos disponibilizados pelo INEP?</w:t>
      </w:r>
    </w:p>
    <w:p>
      <w:pPr>
        <w:spacing w:after="120" w:line="276" w:lineRule="auto"/>
        <w:ind w:firstLine="709"/>
      </w:pPr>
      <w:r>
        <w:rPr>
          <w:rFonts w:ascii="Times New Roman" w:hAnsi="Times New Roman"/>
          <w:sz w:val="24"/>
        </w:rPr>
        <w:t>O objetivo geral é construir e avaliar modelos de Machine Learning capazes de classificar os municípios mineiros quanto ao risco de abandono escolar nos Anos Finais do Ensino Fundamental. Além da predição, o estudo busca identificar quais indicadores apresentam maior associação com a classe de abandono.</w:t>
      </w:r>
    </w:p>
    <w:p>
      <w:pPr>
        <w:spacing w:after="120" w:line="276" w:lineRule="auto"/>
        <w:ind w:firstLine="709"/>
      </w:pPr>
      <w:r>
        <w:rPr>
          <w:rFonts w:ascii="Times New Roman" w:hAnsi="Times New Roman"/>
          <w:sz w:val="24"/>
        </w:rPr>
        <w:t>Os objetivos específicos são: integrar bases públicas educacionais por município e ano; analisar o comportamento dos indicadores selecionados; criar uma variável-alvo categórica a partir da taxa de abandono; comparar pelo menos três algoritmos de classificação; interpretar a importância das variáveis; e analisar Frutal como estudo de caso.</w:t>
      </w:r>
    </w:p>
    <w:p>
      <w:pPr>
        <w:spacing w:after="120" w:line="276" w:lineRule="auto"/>
        <w:ind w:firstLine="709"/>
      </w:pPr>
      <w:r>
        <w:rPr>
          <w:rFonts w:ascii="Times New Roman" w:hAnsi="Times New Roman"/>
          <w:sz w:val="24"/>
        </w:rPr>
        <w:t>A tarefa é de classificação multiclasse, pois a variável-alvo possui três categorias: baixo risco, médio risco e alto risco de abandono escolar.</w:t>
      </w:r>
    </w:p>
    <w:p>
      <w:pPr>
        <w:pStyle w:val="Heading1"/>
      </w:pPr>
      <w:r>
        <w:rPr>
          <w:rFonts w:ascii="Times New Roman" w:hAnsi="Times New Roman"/>
        </w:rPr>
        <w:t>3 Coleta e descrição dos dados</w:t>
      </w:r>
    </w:p>
    <w:p>
      <w:pPr>
        <w:spacing w:after="120" w:line="276" w:lineRule="auto"/>
        <w:ind w:firstLine="709"/>
      </w:pPr>
      <w:r>
        <w:rPr>
          <w:rFonts w:ascii="Times New Roman" w:hAnsi="Times New Roman"/>
          <w:sz w:val="24"/>
        </w:rPr>
        <w:t>As bases utilizadas são públicas, reais e oficiais, provenientes do INEP. Foram considerados indicadores educacionais municipais referentes ao ano de 2023. A unidade de análise é o município, e todas as bases foram integradas a partir das chaves CO_MUNICIPIO e ANO.</w:t>
      </w:r>
    </w:p>
    <w:p>
      <w:pPr>
        <w:spacing w:after="120" w:line="276" w:lineRule="auto"/>
        <w:ind w:firstLine="709"/>
      </w:pPr>
      <w:r>
        <w:rPr>
          <w:rFonts w:ascii="Times New Roman" w:hAnsi="Times New Roman"/>
          <w:sz w:val="24"/>
        </w:rPr>
        <w:t>A base-alvo foi a base de Taxas de Rendimento Escolar, da qual foi extraída a Taxa de Abandono dos Anos Finais do Ensino Fundamental. Como variáveis explicativas, foram utilizados o Indicador de Nível Socioeconômico (INSE), a Taxa de Distorção Idade-Série, a Média de Alunos por Turma e o Indicador de Regularidade do Corpo Docente.</w:t>
      </w:r>
    </w:p>
    <w:p>
      <w:pPr>
        <w:spacing w:after="120" w:line="276" w:lineRule="auto"/>
        <w:ind w:firstLine="709"/>
      </w:pPr>
      <w:r>
        <w:rPr>
          <w:rFonts w:ascii="Times New Roman" w:hAnsi="Times New Roman"/>
          <w:sz w:val="24"/>
        </w:rPr>
        <w:t>O Quadro 1 apresenta as principais bases utilizadas no projeto.</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3135"/>
            <w:vAlign w:val="center"/>
            <w:shd w:fill="D9EAF7"/>
          </w:tcPr>
          <w:p>
            <w:pPr>
              <w:jc w:val="center"/>
            </w:pPr>
            <w:r/>
            <w:r>
              <w:rPr>
                <w:rFonts w:ascii="Times New Roman" w:hAnsi="Times New Roman"/>
                <w:b/>
                <w:sz w:val="16"/>
              </w:rPr>
              <w:t>Base</w:t>
            </w:r>
          </w:p>
        </w:tc>
        <w:tc>
          <w:tcPr>
            <w:tcW w:type="dxa" w:w="3135"/>
            <w:vAlign w:val="center"/>
            <w:shd w:fill="D9EAF7"/>
          </w:tcPr>
          <w:p>
            <w:pPr>
              <w:jc w:val="center"/>
            </w:pPr>
            <w:r/>
            <w:r>
              <w:rPr>
                <w:rFonts w:ascii="Times New Roman" w:hAnsi="Times New Roman"/>
                <w:b/>
                <w:sz w:val="16"/>
              </w:rPr>
              <w:t>Papel no projeto</w:t>
            </w:r>
          </w:p>
        </w:tc>
        <w:tc>
          <w:tcPr>
            <w:tcW w:type="dxa" w:w="3135"/>
            <w:vAlign w:val="center"/>
            <w:shd w:fill="D9EAF7"/>
          </w:tcPr>
          <w:p>
            <w:pPr>
              <w:jc w:val="center"/>
            </w:pPr>
            <w:r/>
            <w:r>
              <w:rPr>
                <w:rFonts w:ascii="Times New Roman" w:hAnsi="Times New Roman"/>
                <w:b/>
                <w:sz w:val="16"/>
              </w:rPr>
              <w:t>Variável principal utilizada</w:t>
            </w:r>
          </w:p>
        </w:tc>
      </w:tr>
      <w:tr>
        <w:trPr>
          <w:cantSplit/>
        </w:trPr>
        <w:tc>
          <w:tcPr>
            <w:tcW w:type="dxa" w:w="3135"/>
            <w:vAlign w:val="center"/>
          </w:tcPr>
          <w:p>
            <w:pPr>
              <w:jc w:val="left"/>
            </w:pPr>
            <w:r/>
            <w:r>
              <w:rPr>
                <w:rFonts w:ascii="Times New Roman" w:hAnsi="Times New Roman"/>
                <w:b w:val="0"/>
                <w:sz w:val="16"/>
              </w:rPr>
              <w:t>Taxas de Rendimento Escolar</w:t>
            </w:r>
          </w:p>
        </w:tc>
        <w:tc>
          <w:tcPr>
            <w:tcW w:type="dxa" w:w="3135"/>
            <w:vAlign w:val="center"/>
          </w:tcPr>
          <w:p>
            <w:pPr>
              <w:jc w:val="left"/>
            </w:pPr>
            <w:r/>
            <w:r>
              <w:rPr>
                <w:rFonts w:ascii="Times New Roman" w:hAnsi="Times New Roman"/>
                <w:b w:val="0"/>
                <w:sz w:val="16"/>
              </w:rPr>
              <w:t>Base-alvo</w:t>
            </w:r>
          </w:p>
        </w:tc>
        <w:tc>
          <w:tcPr>
            <w:tcW w:type="dxa" w:w="3135"/>
            <w:vAlign w:val="center"/>
          </w:tcPr>
          <w:p>
            <w:pPr>
              <w:jc w:val="left"/>
            </w:pPr>
            <w:r/>
            <w:r>
              <w:rPr>
                <w:rFonts w:ascii="Times New Roman" w:hAnsi="Times New Roman"/>
                <w:b w:val="0"/>
                <w:sz w:val="16"/>
              </w:rPr>
              <w:t>TAXA_ABANDONO_ANOS_FINAIS</w:t>
            </w:r>
          </w:p>
        </w:tc>
      </w:tr>
      <w:tr>
        <w:trPr>
          <w:cantSplit/>
        </w:trPr>
        <w:tc>
          <w:tcPr>
            <w:tcW w:type="dxa" w:w="3135"/>
            <w:vAlign w:val="center"/>
          </w:tcPr>
          <w:p>
            <w:pPr>
              <w:jc w:val="left"/>
            </w:pPr>
            <w:r/>
            <w:r>
              <w:rPr>
                <w:rFonts w:ascii="Times New Roman" w:hAnsi="Times New Roman"/>
                <w:b w:val="0"/>
                <w:sz w:val="16"/>
              </w:rPr>
              <w:t>Indicador de Nível Socioeconômico (INSE)</w:t>
            </w:r>
          </w:p>
        </w:tc>
        <w:tc>
          <w:tcPr>
            <w:tcW w:type="dxa" w:w="3135"/>
            <w:vAlign w:val="center"/>
          </w:tcPr>
          <w:p>
            <w:pPr>
              <w:jc w:val="left"/>
            </w:pPr>
            <w:r/>
            <w:r>
              <w:rPr>
                <w:rFonts w:ascii="Times New Roman" w:hAnsi="Times New Roman"/>
                <w:b w:val="0"/>
                <w:sz w:val="16"/>
              </w:rPr>
              <w:t>Variável explicativa</w:t>
            </w:r>
          </w:p>
        </w:tc>
        <w:tc>
          <w:tcPr>
            <w:tcW w:type="dxa" w:w="3135"/>
            <w:vAlign w:val="center"/>
          </w:tcPr>
          <w:p>
            <w:pPr>
              <w:jc w:val="left"/>
            </w:pPr>
            <w:r/>
            <w:r>
              <w:rPr>
                <w:rFonts w:ascii="Times New Roman" w:hAnsi="Times New Roman"/>
                <w:b w:val="0"/>
                <w:sz w:val="16"/>
              </w:rPr>
              <w:t>MEDIA_INSE e QTD_ALUNOS_INSE</w:t>
            </w:r>
          </w:p>
        </w:tc>
      </w:tr>
      <w:tr>
        <w:trPr>
          <w:cantSplit/>
        </w:trPr>
        <w:tc>
          <w:tcPr>
            <w:tcW w:type="dxa" w:w="3135"/>
            <w:vAlign w:val="center"/>
          </w:tcPr>
          <w:p>
            <w:pPr>
              <w:jc w:val="left"/>
            </w:pPr>
            <w:r/>
            <w:r>
              <w:rPr>
                <w:rFonts w:ascii="Times New Roman" w:hAnsi="Times New Roman"/>
                <w:b w:val="0"/>
                <w:sz w:val="16"/>
              </w:rPr>
              <w:t>Taxa de Distorção Idade-Série</w:t>
            </w:r>
          </w:p>
        </w:tc>
        <w:tc>
          <w:tcPr>
            <w:tcW w:type="dxa" w:w="3135"/>
            <w:vAlign w:val="center"/>
          </w:tcPr>
          <w:p>
            <w:pPr>
              <w:jc w:val="left"/>
            </w:pPr>
            <w:r/>
            <w:r>
              <w:rPr>
                <w:rFonts w:ascii="Times New Roman" w:hAnsi="Times New Roman"/>
                <w:b w:val="0"/>
                <w:sz w:val="16"/>
              </w:rPr>
              <w:t>Variável explicativa</w:t>
            </w:r>
          </w:p>
        </w:tc>
        <w:tc>
          <w:tcPr>
            <w:tcW w:type="dxa" w:w="3135"/>
            <w:vAlign w:val="center"/>
          </w:tcPr>
          <w:p>
            <w:pPr>
              <w:jc w:val="left"/>
            </w:pPr>
            <w:r/>
            <w:r>
              <w:rPr>
                <w:rFonts w:ascii="Times New Roman" w:hAnsi="Times New Roman"/>
                <w:b w:val="0"/>
                <w:sz w:val="16"/>
              </w:rPr>
              <w:t>TDI_ANOS_FINAIS</w:t>
            </w:r>
          </w:p>
        </w:tc>
      </w:tr>
      <w:tr>
        <w:trPr>
          <w:cantSplit/>
        </w:trPr>
        <w:tc>
          <w:tcPr>
            <w:tcW w:type="dxa" w:w="3135"/>
            <w:vAlign w:val="center"/>
          </w:tcPr>
          <w:p>
            <w:pPr>
              <w:jc w:val="left"/>
            </w:pPr>
            <w:r/>
            <w:r>
              <w:rPr>
                <w:rFonts w:ascii="Times New Roman" w:hAnsi="Times New Roman"/>
                <w:b w:val="0"/>
                <w:sz w:val="16"/>
              </w:rPr>
              <w:t>Média de Alunos por Turma</w:t>
            </w:r>
          </w:p>
        </w:tc>
        <w:tc>
          <w:tcPr>
            <w:tcW w:type="dxa" w:w="3135"/>
            <w:vAlign w:val="center"/>
          </w:tcPr>
          <w:p>
            <w:pPr>
              <w:jc w:val="left"/>
            </w:pPr>
            <w:r/>
            <w:r>
              <w:rPr>
                <w:rFonts w:ascii="Times New Roman" w:hAnsi="Times New Roman"/>
                <w:b w:val="0"/>
                <w:sz w:val="16"/>
              </w:rPr>
              <w:t>Variável explicativa</w:t>
            </w:r>
          </w:p>
        </w:tc>
        <w:tc>
          <w:tcPr>
            <w:tcW w:type="dxa" w:w="3135"/>
            <w:vAlign w:val="center"/>
          </w:tcPr>
          <w:p>
            <w:pPr>
              <w:jc w:val="left"/>
            </w:pPr>
            <w:r/>
            <w:r>
              <w:rPr>
                <w:rFonts w:ascii="Times New Roman" w:hAnsi="Times New Roman"/>
                <w:b w:val="0"/>
                <w:sz w:val="16"/>
              </w:rPr>
              <w:t>MEDIA_ALUNOS_TURMA_ANOS_FINAIS</w:t>
            </w:r>
          </w:p>
        </w:tc>
      </w:tr>
      <w:tr>
        <w:trPr>
          <w:cantSplit/>
        </w:trPr>
        <w:tc>
          <w:tcPr>
            <w:tcW w:type="dxa" w:w="3135"/>
            <w:vAlign w:val="center"/>
          </w:tcPr>
          <w:p>
            <w:pPr>
              <w:jc w:val="left"/>
            </w:pPr>
            <w:r/>
            <w:r>
              <w:rPr>
                <w:rFonts w:ascii="Times New Roman" w:hAnsi="Times New Roman"/>
                <w:b w:val="0"/>
                <w:sz w:val="16"/>
              </w:rPr>
              <w:t>Regularidade do Corpo Docente</w:t>
            </w:r>
          </w:p>
        </w:tc>
        <w:tc>
          <w:tcPr>
            <w:tcW w:type="dxa" w:w="3135"/>
            <w:vAlign w:val="center"/>
          </w:tcPr>
          <w:p>
            <w:pPr>
              <w:jc w:val="left"/>
            </w:pPr>
            <w:r/>
            <w:r>
              <w:rPr>
                <w:rFonts w:ascii="Times New Roman" w:hAnsi="Times New Roman"/>
                <w:b w:val="0"/>
                <w:sz w:val="16"/>
              </w:rPr>
              <w:t>Variável explicativa</w:t>
            </w:r>
          </w:p>
        </w:tc>
        <w:tc>
          <w:tcPr>
            <w:tcW w:type="dxa" w:w="3135"/>
            <w:vAlign w:val="center"/>
          </w:tcPr>
          <w:p>
            <w:pPr>
              <w:jc w:val="left"/>
            </w:pPr>
            <w:r/>
            <w:r>
              <w:rPr>
                <w:rFonts w:ascii="Times New Roman" w:hAnsi="Times New Roman"/>
                <w:b w:val="0"/>
                <w:sz w:val="16"/>
              </w:rPr>
              <w:t>Percentual de escolas em faixas de regularidade docente</w:t>
            </w:r>
          </w:p>
        </w:tc>
      </w:tr>
    </w:tbl>
    <w:p>
      <w:pPr>
        <w:spacing w:after="160"/>
        <w:jc w:val="center"/>
      </w:pPr>
      <w:r>
        <w:rPr>
          <w:rFonts w:ascii="Times New Roman" w:hAnsi="Times New Roman"/>
          <w:i/>
          <w:sz w:val="20"/>
        </w:rPr>
        <w:t>Quadro 1 - Bases e variáveis utilizadas no projeto.</w:t>
      </w:r>
    </w:p>
    <w:p>
      <w:pPr>
        <w:spacing w:after="120" w:line="276" w:lineRule="auto"/>
        <w:ind w:firstLine="709"/>
      </w:pPr>
      <w:r>
        <w:rPr>
          <w:rFonts w:ascii="Times New Roman" w:hAnsi="Times New Roman"/>
          <w:sz w:val="24"/>
        </w:rPr>
        <w:t>Após a integração, o dataset final de 2023 possui 853 municípios de Minas Gerais, sem valores ausentes nas variáveis selecionadas. A versão utilizada na modelagem possui 13 colunas, incluindo identificadores, indicadores explicativos, taxa de abandono e classe de abandono.</w:t>
      </w:r>
    </w:p>
    <w:p>
      <w:pPr>
        <w:pStyle w:val="Heading1"/>
      </w:pPr>
      <w:r>
        <w:rPr>
          <w:rFonts w:ascii="Times New Roman" w:hAnsi="Times New Roman"/>
        </w:rPr>
        <w:t>4 Pré-processamento e construção do dataset final</w:t>
      </w:r>
    </w:p>
    <w:p>
      <w:pPr>
        <w:spacing w:after="120" w:line="276" w:lineRule="auto"/>
        <w:ind w:firstLine="709"/>
      </w:pPr>
      <w:r>
        <w:rPr>
          <w:rFonts w:ascii="Times New Roman" w:hAnsi="Times New Roman"/>
          <w:sz w:val="24"/>
        </w:rPr>
        <w:t>O pré-processamento consistiu na leitura das bases originais, seleção do ano de 2023, filtro dos municípios de Minas Gerais, padronização das colunas e integração das bases. Nos indicadores em que havia recortes por dependência administrativa e localização, foram selecionados registros que representavam a rede pública e o total urbano/rural. Para as variáveis de etapa escolar, o foco foi nos Anos Finais do Ensino Fundamental.</w:t>
      </w:r>
    </w:p>
    <w:p>
      <w:pPr>
        <w:spacing w:after="120" w:line="276" w:lineRule="auto"/>
        <w:ind w:firstLine="709"/>
      </w:pPr>
      <w:r>
        <w:rPr>
          <w:rFonts w:ascii="Times New Roman" w:hAnsi="Times New Roman"/>
          <w:sz w:val="24"/>
        </w:rPr>
        <w:t>Na base do INSE, foram utilizados os registros de Minas Gerais com tipo de rede total das redes públicas e localização total. Nas bases de Taxa de Distorção Idade-Série, Média de Alunos por Turma e Rendimento Escolar, foram selecionados os indicadores referentes aos Anos Finais. Na base de Regularidade do Corpo Docente, foram utilizadas as quatro faixas percentuais de regularidade: baixa, média-baixa, média-alta e alta.</w:t>
      </w:r>
    </w:p>
    <w:p>
      <w:pPr>
        <w:spacing w:after="120" w:line="276" w:lineRule="auto"/>
        <w:ind w:firstLine="709"/>
      </w:pPr>
      <w:r>
        <w:rPr>
          <w:rFonts w:ascii="Times New Roman" w:hAnsi="Times New Roman"/>
          <w:sz w:val="24"/>
        </w:rPr>
        <w:t>Foi realizada verificação de duplicidades, tipos de dados, valores ausentes e consistência do número de municípios. O dataset final apresentou 853 municípios únicos, correspondentes aos municípios de Minas Gerais, sem valores ausentes nas variáveis finais. A Tabela 1 apresenta as variáveis finais utilizadas.</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3135"/>
            <w:vAlign w:val="center"/>
            <w:shd w:fill="D9EAF7"/>
          </w:tcPr>
          <w:p>
            <w:pPr>
              <w:jc w:val="center"/>
            </w:pPr>
            <w:r/>
            <w:r>
              <w:rPr>
                <w:rFonts w:ascii="Times New Roman" w:hAnsi="Times New Roman"/>
                <w:b/>
                <w:sz w:val="14"/>
              </w:rPr>
              <w:t>Variável</w:t>
            </w:r>
          </w:p>
        </w:tc>
        <w:tc>
          <w:tcPr>
            <w:tcW w:type="dxa" w:w="3135"/>
            <w:vAlign w:val="center"/>
            <w:shd w:fill="D9EAF7"/>
          </w:tcPr>
          <w:p>
            <w:pPr>
              <w:jc w:val="center"/>
            </w:pPr>
            <w:r/>
            <w:r>
              <w:rPr>
                <w:rFonts w:ascii="Times New Roman" w:hAnsi="Times New Roman"/>
                <w:b/>
                <w:sz w:val="14"/>
              </w:rPr>
              <w:t>Descrição</w:t>
            </w:r>
          </w:p>
        </w:tc>
        <w:tc>
          <w:tcPr>
            <w:tcW w:type="dxa" w:w="3135"/>
            <w:vAlign w:val="center"/>
            <w:shd w:fill="D9EAF7"/>
          </w:tcPr>
          <w:p>
            <w:pPr>
              <w:jc w:val="center"/>
            </w:pPr>
            <w:r/>
            <w:r>
              <w:rPr>
                <w:rFonts w:ascii="Times New Roman" w:hAnsi="Times New Roman"/>
                <w:b/>
                <w:sz w:val="14"/>
              </w:rPr>
              <w:t>Uso</w:t>
            </w:r>
          </w:p>
        </w:tc>
      </w:tr>
      <w:tr>
        <w:trPr>
          <w:cantSplit/>
        </w:trPr>
        <w:tc>
          <w:tcPr>
            <w:tcW w:type="dxa" w:w="3135"/>
            <w:vAlign w:val="center"/>
          </w:tcPr>
          <w:p>
            <w:pPr>
              <w:jc w:val="left"/>
            </w:pPr>
            <w:r/>
            <w:r>
              <w:rPr>
                <w:rFonts w:ascii="Times New Roman" w:hAnsi="Times New Roman"/>
                <w:b w:val="0"/>
                <w:sz w:val="14"/>
              </w:rPr>
              <w:t>ANO</w:t>
            </w:r>
          </w:p>
        </w:tc>
        <w:tc>
          <w:tcPr>
            <w:tcW w:type="dxa" w:w="3135"/>
            <w:vAlign w:val="center"/>
          </w:tcPr>
          <w:p>
            <w:pPr>
              <w:jc w:val="left"/>
            </w:pPr>
            <w:r/>
            <w:r>
              <w:rPr>
                <w:rFonts w:ascii="Times New Roman" w:hAnsi="Times New Roman"/>
                <w:b w:val="0"/>
                <w:sz w:val="14"/>
              </w:rPr>
              <w:t>Ano de referência da observação</w:t>
            </w:r>
          </w:p>
        </w:tc>
        <w:tc>
          <w:tcPr>
            <w:tcW w:type="dxa" w:w="3135"/>
            <w:vAlign w:val="center"/>
          </w:tcPr>
          <w:p>
            <w:pPr>
              <w:jc w:val="left"/>
            </w:pPr>
            <w:r/>
            <w:r>
              <w:rPr>
                <w:rFonts w:ascii="Times New Roman" w:hAnsi="Times New Roman"/>
                <w:b w:val="0"/>
                <w:sz w:val="14"/>
              </w:rPr>
              <w:t>Identificação temporal</w:t>
            </w:r>
          </w:p>
        </w:tc>
      </w:tr>
      <w:tr>
        <w:trPr>
          <w:cantSplit/>
        </w:trPr>
        <w:tc>
          <w:tcPr>
            <w:tcW w:type="dxa" w:w="3135"/>
            <w:vAlign w:val="center"/>
          </w:tcPr>
          <w:p>
            <w:pPr>
              <w:jc w:val="left"/>
            </w:pPr>
            <w:r/>
            <w:r>
              <w:rPr>
                <w:rFonts w:ascii="Times New Roman" w:hAnsi="Times New Roman"/>
                <w:b w:val="0"/>
                <w:sz w:val="14"/>
              </w:rPr>
              <w:t>CO_MUNICIPIO</w:t>
            </w:r>
          </w:p>
        </w:tc>
        <w:tc>
          <w:tcPr>
            <w:tcW w:type="dxa" w:w="3135"/>
            <w:vAlign w:val="center"/>
          </w:tcPr>
          <w:p>
            <w:pPr>
              <w:jc w:val="left"/>
            </w:pPr>
            <w:r/>
            <w:r>
              <w:rPr>
                <w:rFonts w:ascii="Times New Roman" w:hAnsi="Times New Roman"/>
                <w:b w:val="0"/>
                <w:sz w:val="14"/>
              </w:rPr>
              <w:t>Código do município</w:t>
            </w:r>
          </w:p>
        </w:tc>
        <w:tc>
          <w:tcPr>
            <w:tcW w:type="dxa" w:w="3135"/>
            <w:vAlign w:val="center"/>
          </w:tcPr>
          <w:p>
            <w:pPr>
              <w:jc w:val="left"/>
            </w:pPr>
            <w:r/>
            <w:r>
              <w:rPr>
                <w:rFonts w:ascii="Times New Roman" w:hAnsi="Times New Roman"/>
                <w:b w:val="0"/>
                <w:sz w:val="14"/>
              </w:rPr>
              <w:t>Chave de integração</w:t>
            </w:r>
          </w:p>
        </w:tc>
      </w:tr>
      <w:tr>
        <w:trPr>
          <w:cantSplit/>
        </w:trPr>
        <w:tc>
          <w:tcPr>
            <w:tcW w:type="dxa" w:w="3135"/>
            <w:vAlign w:val="center"/>
          </w:tcPr>
          <w:p>
            <w:pPr>
              <w:jc w:val="left"/>
            </w:pPr>
            <w:r/>
            <w:r>
              <w:rPr>
                <w:rFonts w:ascii="Times New Roman" w:hAnsi="Times New Roman"/>
                <w:b w:val="0"/>
                <w:sz w:val="14"/>
              </w:rPr>
              <w:t>NO_MUNICIPIO</w:t>
            </w:r>
          </w:p>
        </w:tc>
        <w:tc>
          <w:tcPr>
            <w:tcW w:type="dxa" w:w="3135"/>
            <w:vAlign w:val="center"/>
          </w:tcPr>
          <w:p>
            <w:pPr>
              <w:jc w:val="left"/>
            </w:pPr>
            <w:r/>
            <w:r>
              <w:rPr>
                <w:rFonts w:ascii="Times New Roman" w:hAnsi="Times New Roman"/>
                <w:b w:val="0"/>
                <w:sz w:val="14"/>
              </w:rPr>
              <w:t>Nome do município</w:t>
            </w:r>
          </w:p>
        </w:tc>
        <w:tc>
          <w:tcPr>
            <w:tcW w:type="dxa" w:w="3135"/>
            <w:vAlign w:val="center"/>
          </w:tcPr>
          <w:p>
            <w:pPr>
              <w:jc w:val="left"/>
            </w:pPr>
            <w:r/>
            <w:r>
              <w:rPr>
                <w:rFonts w:ascii="Times New Roman" w:hAnsi="Times New Roman"/>
                <w:b w:val="0"/>
                <w:sz w:val="14"/>
              </w:rPr>
              <w:t>Identificação</w:t>
            </w:r>
          </w:p>
        </w:tc>
      </w:tr>
      <w:tr>
        <w:trPr>
          <w:cantSplit/>
        </w:trPr>
        <w:tc>
          <w:tcPr>
            <w:tcW w:type="dxa" w:w="3135"/>
            <w:vAlign w:val="center"/>
          </w:tcPr>
          <w:p>
            <w:pPr>
              <w:jc w:val="left"/>
            </w:pPr>
            <w:r/>
            <w:r>
              <w:rPr>
                <w:rFonts w:ascii="Times New Roman" w:hAnsi="Times New Roman"/>
                <w:b w:val="0"/>
                <w:sz w:val="14"/>
              </w:rPr>
              <w:t>QTD_ALUNOS_INSE</w:t>
            </w:r>
          </w:p>
        </w:tc>
        <w:tc>
          <w:tcPr>
            <w:tcW w:type="dxa" w:w="3135"/>
            <w:vAlign w:val="center"/>
          </w:tcPr>
          <w:p>
            <w:pPr>
              <w:jc w:val="left"/>
            </w:pPr>
            <w:r/>
            <w:r>
              <w:rPr>
                <w:rFonts w:ascii="Times New Roman" w:hAnsi="Times New Roman"/>
                <w:b w:val="0"/>
                <w:sz w:val="14"/>
              </w:rPr>
              <w:t>Quantidade de alunos considerados no INSE</w:t>
            </w:r>
          </w:p>
        </w:tc>
        <w:tc>
          <w:tcPr>
            <w:tcW w:type="dxa" w:w="3135"/>
            <w:vAlign w:val="center"/>
          </w:tcPr>
          <w:p>
            <w:pPr>
              <w:jc w:val="left"/>
            </w:pPr>
            <w:r/>
            <w:r>
              <w:rPr>
                <w:rFonts w:ascii="Times New Roman" w:hAnsi="Times New Roman"/>
                <w:b w:val="0"/>
                <w:sz w:val="14"/>
              </w:rPr>
              <w:t>Explicativa</w:t>
            </w:r>
          </w:p>
        </w:tc>
      </w:tr>
      <w:tr>
        <w:trPr>
          <w:cantSplit/>
        </w:trPr>
        <w:tc>
          <w:tcPr>
            <w:tcW w:type="dxa" w:w="3135"/>
            <w:vAlign w:val="center"/>
          </w:tcPr>
          <w:p>
            <w:pPr>
              <w:jc w:val="left"/>
            </w:pPr>
            <w:r/>
            <w:r>
              <w:rPr>
                <w:rFonts w:ascii="Times New Roman" w:hAnsi="Times New Roman"/>
                <w:b w:val="0"/>
                <w:sz w:val="14"/>
              </w:rPr>
              <w:t>MEDIA_INSE</w:t>
            </w:r>
          </w:p>
        </w:tc>
        <w:tc>
          <w:tcPr>
            <w:tcW w:type="dxa" w:w="3135"/>
            <w:vAlign w:val="center"/>
          </w:tcPr>
          <w:p>
            <w:pPr>
              <w:jc w:val="left"/>
            </w:pPr>
            <w:r/>
            <w:r>
              <w:rPr>
                <w:rFonts w:ascii="Times New Roman" w:hAnsi="Times New Roman"/>
                <w:b w:val="0"/>
                <w:sz w:val="14"/>
              </w:rPr>
              <w:t>Média do indicador socioeconômico municipal</w:t>
            </w:r>
          </w:p>
        </w:tc>
        <w:tc>
          <w:tcPr>
            <w:tcW w:type="dxa" w:w="3135"/>
            <w:vAlign w:val="center"/>
          </w:tcPr>
          <w:p>
            <w:pPr>
              <w:jc w:val="left"/>
            </w:pPr>
            <w:r/>
            <w:r>
              <w:rPr>
                <w:rFonts w:ascii="Times New Roman" w:hAnsi="Times New Roman"/>
                <w:b w:val="0"/>
                <w:sz w:val="14"/>
              </w:rPr>
              <w:t>Explicativa</w:t>
            </w:r>
          </w:p>
        </w:tc>
      </w:tr>
      <w:tr>
        <w:trPr>
          <w:cantSplit/>
        </w:trPr>
        <w:tc>
          <w:tcPr>
            <w:tcW w:type="dxa" w:w="3135"/>
            <w:vAlign w:val="center"/>
          </w:tcPr>
          <w:p>
            <w:pPr>
              <w:jc w:val="left"/>
            </w:pPr>
            <w:r/>
            <w:r>
              <w:rPr>
                <w:rFonts w:ascii="Times New Roman" w:hAnsi="Times New Roman"/>
                <w:b w:val="0"/>
                <w:sz w:val="14"/>
              </w:rPr>
              <w:t>TDI_ANOS_FINAIS</w:t>
            </w:r>
          </w:p>
        </w:tc>
        <w:tc>
          <w:tcPr>
            <w:tcW w:type="dxa" w:w="3135"/>
            <w:vAlign w:val="center"/>
          </w:tcPr>
          <w:p>
            <w:pPr>
              <w:jc w:val="left"/>
            </w:pPr>
            <w:r/>
            <w:r>
              <w:rPr>
                <w:rFonts w:ascii="Times New Roman" w:hAnsi="Times New Roman"/>
                <w:b w:val="0"/>
                <w:sz w:val="14"/>
              </w:rPr>
              <w:t>Taxa de distorção idade-série nos Anos Finais</w:t>
            </w:r>
          </w:p>
        </w:tc>
        <w:tc>
          <w:tcPr>
            <w:tcW w:type="dxa" w:w="3135"/>
            <w:vAlign w:val="center"/>
          </w:tcPr>
          <w:p>
            <w:pPr>
              <w:jc w:val="left"/>
            </w:pPr>
            <w:r/>
            <w:r>
              <w:rPr>
                <w:rFonts w:ascii="Times New Roman" w:hAnsi="Times New Roman"/>
                <w:b w:val="0"/>
                <w:sz w:val="14"/>
              </w:rPr>
              <w:t>Explicativa</w:t>
            </w:r>
          </w:p>
        </w:tc>
      </w:tr>
      <w:tr>
        <w:trPr>
          <w:cantSplit/>
        </w:trPr>
        <w:tc>
          <w:tcPr>
            <w:tcW w:type="dxa" w:w="3135"/>
            <w:vAlign w:val="center"/>
          </w:tcPr>
          <w:p>
            <w:pPr>
              <w:jc w:val="left"/>
            </w:pPr>
            <w:r/>
            <w:r>
              <w:rPr>
                <w:rFonts w:ascii="Times New Roman" w:hAnsi="Times New Roman"/>
                <w:b w:val="0"/>
                <w:sz w:val="14"/>
              </w:rPr>
              <w:t>MEDIA_ALUNOS_TURMA_ANOS_FINAIS</w:t>
            </w:r>
          </w:p>
        </w:tc>
        <w:tc>
          <w:tcPr>
            <w:tcW w:type="dxa" w:w="3135"/>
            <w:vAlign w:val="center"/>
          </w:tcPr>
          <w:p>
            <w:pPr>
              <w:jc w:val="left"/>
            </w:pPr>
            <w:r/>
            <w:r>
              <w:rPr>
                <w:rFonts w:ascii="Times New Roman" w:hAnsi="Times New Roman"/>
                <w:b w:val="0"/>
                <w:sz w:val="14"/>
              </w:rPr>
              <w:t>Média de alunos por turma nos Anos Finais</w:t>
            </w:r>
          </w:p>
        </w:tc>
        <w:tc>
          <w:tcPr>
            <w:tcW w:type="dxa" w:w="3135"/>
            <w:vAlign w:val="center"/>
          </w:tcPr>
          <w:p>
            <w:pPr>
              <w:jc w:val="left"/>
            </w:pPr>
            <w:r/>
            <w:r>
              <w:rPr>
                <w:rFonts w:ascii="Times New Roman" w:hAnsi="Times New Roman"/>
                <w:b w:val="0"/>
                <w:sz w:val="14"/>
              </w:rPr>
              <w:t>Explicativa</w:t>
            </w:r>
          </w:p>
        </w:tc>
      </w:tr>
      <w:tr>
        <w:trPr>
          <w:cantSplit/>
        </w:trPr>
        <w:tc>
          <w:tcPr>
            <w:tcW w:type="dxa" w:w="3135"/>
            <w:vAlign w:val="center"/>
          </w:tcPr>
          <w:p>
            <w:pPr>
              <w:jc w:val="left"/>
            </w:pPr>
            <w:r/>
            <w:r>
              <w:rPr>
                <w:rFonts w:ascii="Times New Roman" w:hAnsi="Times New Roman"/>
                <w:b w:val="0"/>
                <w:sz w:val="14"/>
              </w:rPr>
              <w:t>PERC_ESCOLAS_BAIXA_REGULARIDADE_DOCENTE</w:t>
            </w:r>
          </w:p>
        </w:tc>
        <w:tc>
          <w:tcPr>
            <w:tcW w:type="dxa" w:w="3135"/>
            <w:vAlign w:val="center"/>
          </w:tcPr>
          <w:p>
            <w:pPr>
              <w:jc w:val="left"/>
            </w:pPr>
            <w:r/>
            <w:r>
              <w:rPr>
                <w:rFonts w:ascii="Times New Roman" w:hAnsi="Times New Roman"/>
                <w:b w:val="0"/>
                <w:sz w:val="14"/>
              </w:rPr>
              <w:t>Percentual de escolas em baixa regularidade docente</w:t>
            </w:r>
          </w:p>
        </w:tc>
        <w:tc>
          <w:tcPr>
            <w:tcW w:type="dxa" w:w="3135"/>
            <w:vAlign w:val="center"/>
          </w:tcPr>
          <w:p>
            <w:pPr>
              <w:jc w:val="left"/>
            </w:pPr>
            <w:r/>
            <w:r>
              <w:rPr>
                <w:rFonts w:ascii="Times New Roman" w:hAnsi="Times New Roman"/>
                <w:b w:val="0"/>
                <w:sz w:val="14"/>
              </w:rPr>
              <w:t>Explicativa</w:t>
            </w:r>
          </w:p>
        </w:tc>
      </w:tr>
      <w:tr>
        <w:trPr>
          <w:cantSplit/>
        </w:trPr>
        <w:tc>
          <w:tcPr>
            <w:tcW w:type="dxa" w:w="3135"/>
            <w:vAlign w:val="center"/>
          </w:tcPr>
          <w:p>
            <w:pPr>
              <w:jc w:val="left"/>
            </w:pPr>
            <w:r/>
            <w:r>
              <w:rPr>
                <w:rFonts w:ascii="Times New Roman" w:hAnsi="Times New Roman"/>
                <w:b w:val="0"/>
                <w:sz w:val="14"/>
              </w:rPr>
              <w:t>PERC_ESCOLAS_MEDIA_BAIXA_REGULARIDADE_DOCENTE</w:t>
            </w:r>
          </w:p>
        </w:tc>
        <w:tc>
          <w:tcPr>
            <w:tcW w:type="dxa" w:w="3135"/>
            <w:vAlign w:val="center"/>
          </w:tcPr>
          <w:p>
            <w:pPr>
              <w:jc w:val="left"/>
            </w:pPr>
            <w:r/>
            <w:r>
              <w:rPr>
                <w:rFonts w:ascii="Times New Roman" w:hAnsi="Times New Roman"/>
                <w:b w:val="0"/>
                <w:sz w:val="14"/>
              </w:rPr>
              <w:t>Percentual de escolas em média-baixa regularidade docente</w:t>
            </w:r>
          </w:p>
        </w:tc>
        <w:tc>
          <w:tcPr>
            <w:tcW w:type="dxa" w:w="3135"/>
            <w:vAlign w:val="center"/>
          </w:tcPr>
          <w:p>
            <w:pPr>
              <w:jc w:val="left"/>
            </w:pPr>
            <w:r/>
            <w:r>
              <w:rPr>
                <w:rFonts w:ascii="Times New Roman" w:hAnsi="Times New Roman"/>
                <w:b w:val="0"/>
                <w:sz w:val="14"/>
              </w:rPr>
              <w:t>Explicativa</w:t>
            </w:r>
          </w:p>
        </w:tc>
      </w:tr>
      <w:tr>
        <w:trPr>
          <w:cantSplit/>
        </w:trPr>
        <w:tc>
          <w:tcPr>
            <w:tcW w:type="dxa" w:w="3135"/>
            <w:vAlign w:val="center"/>
          </w:tcPr>
          <w:p>
            <w:pPr>
              <w:jc w:val="left"/>
            </w:pPr>
            <w:r/>
            <w:r>
              <w:rPr>
                <w:rFonts w:ascii="Times New Roman" w:hAnsi="Times New Roman"/>
                <w:b w:val="0"/>
                <w:sz w:val="14"/>
              </w:rPr>
              <w:t>PERC_ESCOLAS_MEDIA_ALTA_REGULARIDADE_DOCENTE</w:t>
            </w:r>
          </w:p>
        </w:tc>
        <w:tc>
          <w:tcPr>
            <w:tcW w:type="dxa" w:w="3135"/>
            <w:vAlign w:val="center"/>
          </w:tcPr>
          <w:p>
            <w:pPr>
              <w:jc w:val="left"/>
            </w:pPr>
            <w:r/>
            <w:r>
              <w:rPr>
                <w:rFonts w:ascii="Times New Roman" w:hAnsi="Times New Roman"/>
                <w:b w:val="0"/>
                <w:sz w:val="14"/>
              </w:rPr>
              <w:t>Percentual de escolas em média-alta regularidade docente</w:t>
            </w:r>
          </w:p>
        </w:tc>
        <w:tc>
          <w:tcPr>
            <w:tcW w:type="dxa" w:w="3135"/>
            <w:vAlign w:val="center"/>
          </w:tcPr>
          <w:p>
            <w:pPr>
              <w:jc w:val="left"/>
            </w:pPr>
            <w:r/>
            <w:r>
              <w:rPr>
                <w:rFonts w:ascii="Times New Roman" w:hAnsi="Times New Roman"/>
                <w:b w:val="0"/>
                <w:sz w:val="14"/>
              </w:rPr>
              <w:t>Explicativa</w:t>
            </w:r>
          </w:p>
        </w:tc>
      </w:tr>
      <w:tr>
        <w:trPr>
          <w:cantSplit/>
        </w:trPr>
        <w:tc>
          <w:tcPr>
            <w:tcW w:type="dxa" w:w="3135"/>
            <w:vAlign w:val="center"/>
          </w:tcPr>
          <w:p>
            <w:pPr>
              <w:jc w:val="left"/>
            </w:pPr>
            <w:r/>
            <w:r>
              <w:rPr>
                <w:rFonts w:ascii="Times New Roman" w:hAnsi="Times New Roman"/>
                <w:b w:val="0"/>
                <w:sz w:val="14"/>
              </w:rPr>
              <w:t>PERC_ESCOLAS_ALTA_REGULARIDADE_DOCENTE</w:t>
            </w:r>
          </w:p>
        </w:tc>
        <w:tc>
          <w:tcPr>
            <w:tcW w:type="dxa" w:w="3135"/>
            <w:vAlign w:val="center"/>
          </w:tcPr>
          <w:p>
            <w:pPr>
              <w:jc w:val="left"/>
            </w:pPr>
            <w:r/>
            <w:r>
              <w:rPr>
                <w:rFonts w:ascii="Times New Roman" w:hAnsi="Times New Roman"/>
                <w:b w:val="0"/>
                <w:sz w:val="14"/>
              </w:rPr>
              <w:t>Percentual de escolas em alta regularidade docente</w:t>
            </w:r>
          </w:p>
        </w:tc>
        <w:tc>
          <w:tcPr>
            <w:tcW w:type="dxa" w:w="3135"/>
            <w:vAlign w:val="center"/>
          </w:tcPr>
          <w:p>
            <w:pPr>
              <w:jc w:val="left"/>
            </w:pPr>
            <w:r/>
            <w:r>
              <w:rPr>
                <w:rFonts w:ascii="Times New Roman" w:hAnsi="Times New Roman"/>
                <w:b w:val="0"/>
                <w:sz w:val="14"/>
              </w:rPr>
              <w:t>Explicativa</w:t>
            </w:r>
          </w:p>
        </w:tc>
      </w:tr>
      <w:tr>
        <w:trPr>
          <w:cantSplit/>
        </w:trPr>
        <w:tc>
          <w:tcPr>
            <w:tcW w:type="dxa" w:w="3135"/>
            <w:vAlign w:val="center"/>
          </w:tcPr>
          <w:p>
            <w:pPr>
              <w:jc w:val="left"/>
            </w:pPr>
            <w:r/>
            <w:r>
              <w:rPr>
                <w:rFonts w:ascii="Times New Roman" w:hAnsi="Times New Roman"/>
                <w:b w:val="0"/>
                <w:sz w:val="14"/>
              </w:rPr>
              <w:t>TAXA_ABANDONO_ANOS_FINAIS</w:t>
            </w:r>
          </w:p>
        </w:tc>
        <w:tc>
          <w:tcPr>
            <w:tcW w:type="dxa" w:w="3135"/>
            <w:vAlign w:val="center"/>
          </w:tcPr>
          <w:p>
            <w:pPr>
              <w:jc w:val="left"/>
            </w:pPr>
            <w:r/>
            <w:r>
              <w:rPr>
                <w:rFonts w:ascii="Times New Roman" w:hAnsi="Times New Roman"/>
                <w:b w:val="0"/>
                <w:sz w:val="14"/>
              </w:rPr>
              <w:t>Taxa de abandono escolar nos Anos Finais</w:t>
            </w:r>
          </w:p>
        </w:tc>
        <w:tc>
          <w:tcPr>
            <w:tcW w:type="dxa" w:w="3135"/>
            <w:vAlign w:val="center"/>
          </w:tcPr>
          <w:p>
            <w:pPr>
              <w:jc w:val="left"/>
            </w:pPr>
            <w:r/>
            <w:r>
              <w:rPr>
                <w:rFonts w:ascii="Times New Roman" w:hAnsi="Times New Roman"/>
                <w:b w:val="0"/>
                <w:sz w:val="14"/>
              </w:rPr>
              <w:t>Base da variável-alvo</w:t>
            </w:r>
          </w:p>
        </w:tc>
      </w:tr>
      <w:tr>
        <w:trPr>
          <w:cantSplit/>
        </w:trPr>
        <w:tc>
          <w:tcPr>
            <w:tcW w:type="dxa" w:w="3135"/>
            <w:vAlign w:val="center"/>
          </w:tcPr>
          <w:p>
            <w:pPr>
              <w:jc w:val="left"/>
            </w:pPr>
            <w:r/>
            <w:r>
              <w:rPr>
                <w:rFonts w:ascii="Times New Roman" w:hAnsi="Times New Roman"/>
                <w:b w:val="0"/>
                <w:sz w:val="14"/>
              </w:rPr>
              <w:t>CLASSE_ABANDONO</w:t>
            </w:r>
          </w:p>
        </w:tc>
        <w:tc>
          <w:tcPr>
            <w:tcW w:type="dxa" w:w="3135"/>
            <w:vAlign w:val="center"/>
          </w:tcPr>
          <w:p>
            <w:pPr>
              <w:jc w:val="left"/>
            </w:pPr>
            <w:r/>
            <w:r>
              <w:rPr>
                <w:rFonts w:ascii="Times New Roman" w:hAnsi="Times New Roman"/>
                <w:b w:val="0"/>
                <w:sz w:val="14"/>
              </w:rPr>
              <w:t>Classe de risco criada a partir da taxa de abandono</w:t>
            </w:r>
          </w:p>
        </w:tc>
        <w:tc>
          <w:tcPr>
            <w:tcW w:type="dxa" w:w="3135"/>
            <w:vAlign w:val="center"/>
          </w:tcPr>
          <w:p>
            <w:pPr>
              <w:jc w:val="left"/>
            </w:pPr>
            <w:r/>
            <w:r>
              <w:rPr>
                <w:rFonts w:ascii="Times New Roman" w:hAnsi="Times New Roman"/>
                <w:b w:val="0"/>
                <w:sz w:val="14"/>
              </w:rPr>
              <w:t>Variável-alvo</w:t>
            </w:r>
          </w:p>
        </w:tc>
      </w:tr>
    </w:tbl>
    <w:p>
      <w:pPr>
        <w:spacing w:after="160"/>
        <w:jc w:val="center"/>
      </w:pPr>
      <w:r>
        <w:rPr>
          <w:rFonts w:ascii="Times New Roman" w:hAnsi="Times New Roman"/>
          <w:i/>
          <w:sz w:val="20"/>
        </w:rPr>
        <w:t>Tabela 1 - Variáveis do dataset final.</w:t>
      </w:r>
    </w:p>
    <w:p>
      <w:pPr>
        <w:pStyle w:val="Heading1"/>
      </w:pPr>
      <w:r>
        <w:rPr>
          <w:rFonts w:ascii="Times New Roman" w:hAnsi="Times New Roman"/>
        </w:rPr>
        <w:t>5 Análise exploratória dos dados</w:t>
      </w:r>
    </w:p>
    <w:p>
      <w:pPr>
        <w:spacing w:after="120" w:line="276" w:lineRule="auto"/>
        <w:ind w:firstLine="709"/>
      </w:pPr>
      <w:r>
        <w:rPr>
          <w:rFonts w:ascii="Times New Roman" w:hAnsi="Times New Roman"/>
          <w:sz w:val="24"/>
        </w:rPr>
        <w:t>A análise exploratória foi conduzida para compreender a distribuição dos indicadores e orientar a criação da variável-alvo e a modelagem. O dataset final apresentou 853 municípios de Minas Gerais referentes ao ano de 2023, sem valores ausentes nas variáveis selecionadas.</w:t>
      </w:r>
    </w:p>
    <w:p>
      <w:pPr>
        <w:spacing w:after="120" w:line="276" w:lineRule="auto"/>
        <w:ind w:firstLine="709"/>
      </w:pPr>
      <w:r>
        <w:rPr>
          <w:rFonts w:ascii="Times New Roman" w:hAnsi="Times New Roman"/>
          <w:sz w:val="24"/>
        </w:rPr>
        <w:t>A Taxa de Distorção Idade-Série dos Anos Finais apresentou média de 11,86%, mediana de 10,7% e valor máximo de 42,2%, indicando grande variação entre os municípios. A Média de Alunos por Turma apresentou média de 24,49 alunos e mediana de 24,8. A Taxa de Abandono Escolar apresentou média de 1,47%, mediana de 1,1% e máximo de 9,3%, mostrando que a maior parte dos municípios possui abandono relativamente baixo, mas existem casos com valores mais elevados.</w:t>
      </w:r>
    </w:p>
    <w:tbl>
      <w:tblPr>
        <w:tblStyle w:val="TableGrid"/>
        <w:tblW w:type="auto" w:w="0"/>
        <w:jc w:val="center"/>
        <w:tblLook w:firstColumn="1" w:firstRow="1" w:lastColumn="0" w:lastRow="0" w:noHBand="0" w:noVBand="1" w:val="04A0"/>
      </w:tblPr>
      <w:tblGrid>
        <w:gridCol w:w="2351"/>
        <w:gridCol w:w="2351"/>
        <w:gridCol w:w="2351"/>
        <w:gridCol w:w="2351"/>
      </w:tblGrid>
      <w:tr>
        <w:trPr>
          <w:cantSplit/>
        </w:trPr>
        <w:tc>
          <w:tcPr>
            <w:tcW w:type="dxa" w:w="2351"/>
            <w:vAlign w:val="center"/>
            <w:shd w:fill="D9EAF7"/>
          </w:tcPr>
          <w:p>
            <w:pPr>
              <w:jc w:val="center"/>
            </w:pPr>
            <w:r/>
            <w:r>
              <w:rPr>
                <w:rFonts w:ascii="Times New Roman" w:hAnsi="Times New Roman"/>
                <w:b/>
                <w:sz w:val="16"/>
              </w:rPr>
              <w:t>Indicador</w:t>
            </w:r>
          </w:p>
        </w:tc>
        <w:tc>
          <w:tcPr>
            <w:tcW w:type="dxa" w:w="2351"/>
            <w:vAlign w:val="center"/>
            <w:shd w:fill="D9EAF7"/>
          </w:tcPr>
          <w:p>
            <w:pPr>
              <w:jc w:val="center"/>
            </w:pPr>
            <w:r/>
            <w:r>
              <w:rPr>
                <w:rFonts w:ascii="Times New Roman" w:hAnsi="Times New Roman"/>
                <w:b/>
                <w:sz w:val="16"/>
              </w:rPr>
              <w:t>Média MG</w:t>
            </w:r>
          </w:p>
        </w:tc>
        <w:tc>
          <w:tcPr>
            <w:tcW w:type="dxa" w:w="2351"/>
            <w:vAlign w:val="center"/>
            <w:shd w:fill="D9EAF7"/>
          </w:tcPr>
          <w:p>
            <w:pPr>
              <w:jc w:val="center"/>
            </w:pPr>
            <w:r/>
            <w:r>
              <w:rPr>
                <w:rFonts w:ascii="Times New Roman" w:hAnsi="Times New Roman"/>
                <w:b/>
                <w:sz w:val="16"/>
              </w:rPr>
              <w:t>Mediana MG</w:t>
            </w:r>
          </w:p>
        </w:tc>
        <w:tc>
          <w:tcPr>
            <w:tcW w:type="dxa" w:w="2351"/>
            <w:vAlign w:val="center"/>
            <w:shd w:fill="D9EAF7"/>
          </w:tcPr>
          <w:p>
            <w:pPr>
              <w:jc w:val="center"/>
            </w:pPr>
            <w:r/>
            <w:r>
              <w:rPr>
                <w:rFonts w:ascii="Times New Roman" w:hAnsi="Times New Roman"/>
                <w:b/>
                <w:sz w:val="16"/>
              </w:rPr>
              <w:t>Observação</w:t>
            </w:r>
          </w:p>
        </w:tc>
      </w:tr>
      <w:tr>
        <w:trPr>
          <w:cantSplit/>
        </w:trPr>
        <w:tc>
          <w:tcPr>
            <w:tcW w:type="dxa" w:w="2351"/>
            <w:vAlign w:val="center"/>
          </w:tcPr>
          <w:p>
            <w:pPr>
              <w:jc w:val="left"/>
            </w:pPr>
            <w:r/>
            <w:r>
              <w:rPr>
                <w:rFonts w:ascii="Times New Roman" w:hAnsi="Times New Roman"/>
                <w:b w:val="0"/>
                <w:sz w:val="16"/>
              </w:rPr>
              <w:t>MEDIA_INSE</w:t>
            </w:r>
          </w:p>
        </w:tc>
        <w:tc>
          <w:tcPr>
            <w:tcW w:type="dxa" w:w="2351"/>
            <w:vAlign w:val="center"/>
          </w:tcPr>
          <w:p>
            <w:pPr>
              <w:jc w:val="left"/>
            </w:pPr>
            <w:r/>
            <w:r>
              <w:rPr>
                <w:rFonts w:ascii="Times New Roman" w:hAnsi="Times New Roman"/>
                <w:b w:val="0"/>
                <w:sz w:val="16"/>
              </w:rPr>
              <w:t>4,94</w:t>
            </w:r>
          </w:p>
        </w:tc>
        <w:tc>
          <w:tcPr>
            <w:tcW w:type="dxa" w:w="2351"/>
            <w:vAlign w:val="center"/>
          </w:tcPr>
          <w:p>
            <w:pPr>
              <w:jc w:val="left"/>
            </w:pPr>
            <w:r/>
            <w:r>
              <w:rPr>
                <w:rFonts w:ascii="Times New Roman" w:hAnsi="Times New Roman"/>
                <w:b w:val="0"/>
                <w:sz w:val="16"/>
              </w:rPr>
              <w:t>4,99</w:t>
            </w:r>
          </w:p>
        </w:tc>
        <w:tc>
          <w:tcPr>
            <w:tcW w:type="dxa" w:w="2351"/>
            <w:vAlign w:val="center"/>
          </w:tcPr>
          <w:p>
            <w:pPr>
              <w:jc w:val="left"/>
            </w:pPr>
            <w:r/>
            <w:r>
              <w:rPr>
                <w:rFonts w:ascii="Times New Roman" w:hAnsi="Times New Roman"/>
                <w:b w:val="0"/>
                <w:sz w:val="16"/>
              </w:rPr>
              <w:t>Valores concentrados em torno de 5</w:t>
            </w:r>
          </w:p>
        </w:tc>
      </w:tr>
      <w:tr>
        <w:trPr>
          <w:cantSplit/>
        </w:trPr>
        <w:tc>
          <w:tcPr>
            <w:tcW w:type="dxa" w:w="2351"/>
            <w:vAlign w:val="center"/>
          </w:tcPr>
          <w:p>
            <w:pPr>
              <w:jc w:val="left"/>
            </w:pPr>
            <w:r/>
            <w:r>
              <w:rPr>
                <w:rFonts w:ascii="Times New Roman" w:hAnsi="Times New Roman"/>
                <w:b w:val="0"/>
                <w:sz w:val="16"/>
              </w:rPr>
              <w:t>TDI_ANOS_FINAIS</w:t>
            </w:r>
          </w:p>
        </w:tc>
        <w:tc>
          <w:tcPr>
            <w:tcW w:type="dxa" w:w="2351"/>
            <w:vAlign w:val="center"/>
          </w:tcPr>
          <w:p>
            <w:pPr>
              <w:jc w:val="left"/>
            </w:pPr>
            <w:r/>
            <w:r>
              <w:rPr>
                <w:rFonts w:ascii="Times New Roman" w:hAnsi="Times New Roman"/>
                <w:b w:val="0"/>
                <w:sz w:val="16"/>
              </w:rPr>
              <w:t>11,86%</w:t>
            </w:r>
          </w:p>
        </w:tc>
        <w:tc>
          <w:tcPr>
            <w:tcW w:type="dxa" w:w="2351"/>
            <w:vAlign w:val="center"/>
          </w:tcPr>
          <w:p>
            <w:pPr>
              <w:jc w:val="left"/>
            </w:pPr>
            <w:r/>
            <w:r>
              <w:rPr>
                <w:rFonts w:ascii="Times New Roman" w:hAnsi="Times New Roman"/>
                <w:b w:val="0"/>
                <w:sz w:val="16"/>
              </w:rPr>
              <w:t>10,70%</w:t>
            </w:r>
          </w:p>
        </w:tc>
        <w:tc>
          <w:tcPr>
            <w:tcW w:type="dxa" w:w="2351"/>
            <w:vAlign w:val="center"/>
          </w:tcPr>
          <w:p>
            <w:pPr>
              <w:jc w:val="left"/>
            </w:pPr>
            <w:r/>
            <w:r>
              <w:rPr>
                <w:rFonts w:ascii="Times New Roman" w:hAnsi="Times New Roman"/>
                <w:b w:val="0"/>
                <w:sz w:val="16"/>
              </w:rPr>
              <w:t>Alta variação entre municípios</w:t>
            </w:r>
          </w:p>
        </w:tc>
      </w:tr>
      <w:tr>
        <w:trPr>
          <w:cantSplit/>
        </w:trPr>
        <w:tc>
          <w:tcPr>
            <w:tcW w:type="dxa" w:w="2351"/>
            <w:vAlign w:val="center"/>
          </w:tcPr>
          <w:p>
            <w:pPr>
              <w:jc w:val="left"/>
            </w:pPr>
            <w:r/>
            <w:r>
              <w:rPr>
                <w:rFonts w:ascii="Times New Roman" w:hAnsi="Times New Roman"/>
                <w:b w:val="0"/>
                <w:sz w:val="16"/>
              </w:rPr>
              <w:t>MEDIA_ALUNOS_TURMA_ANOS_FINAIS</w:t>
            </w:r>
          </w:p>
        </w:tc>
        <w:tc>
          <w:tcPr>
            <w:tcW w:type="dxa" w:w="2351"/>
            <w:vAlign w:val="center"/>
          </w:tcPr>
          <w:p>
            <w:pPr>
              <w:jc w:val="left"/>
            </w:pPr>
            <w:r/>
            <w:r>
              <w:rPr>
                <w:rFonts w:ascii="Times New Roman" w:hAnsi="Times New Roman"/>
                <w:b w:val="0"/>
                <w:sz w:val="16"/>
              </w:rPr>
              <w:t>24,49</w:t>
            </w:r>
          </w:p>
        </w:tc>
        <w:tc>
          <w:tcPr>
            <w:tcW w:type="dxa" w:w="2351"/>
            <w:vAlign w:val="center"/>
          </w:tcPr>
          <w:p>
            <w:pPr>
              <w:jc w:val="left"/>
            </w:pPr>
            <w:r/>
            <w:r>
              <w:rPr>
                <w:rFonts w:ascii="Times New Roman" w:hAnsi="Times New Roman"/>
                <w:b w:val="0"/>
                <w:sz w:val="16"/>
              </w:rPr>
              <w:t>24,80</w:t>
            </w:r>
          </w:p>
        </w:tc>
        <w:tc>
          <w:tcPr>
            <w:tcW w:type="dxa" w:w="2351"/>
            <w:vAlign w:val="center"/>
          </w:tcPr>
          <w:p>
            <w:pPr>
              <w:jc w:val="left"/>
            </w:pPr>
            <w:r/>
            <w:r>
              <w:rPr>
                <w:rFonts w:ascii="Times New Roman" w:hAnsi="Times New Roman"/>
                <w:b w:val="0"/>
                <w:sz w:val="16"/>
              </w:rPr>
              <w:t>Distribuição concentrada em 24 a 25 alunos</w:t>
            </w:r>
          </w:p>
        </w:tc>
      </w:tr>
      <w:tr>
        <w:trPr>
          <w:cantSplit/>
        </w:trPr>
        <w:tc>
          <w:tcPr>
            <w:tcW w:type="dxa" w:w="2351"/>
            <w:vAlign w:val="center"/>
          </w:tcPr>
          <w:p>
            <w:pPr>
              <w:jc w:val="left"/>
            </w:pPr>
            <w:r/>
            <w:r>
              <w:rPr>
                <w:rFonts w:ascii="Times New Roman" w:hAnsi="Times New Roman"/>
                <w:b w:val="0"/>
                <w:sz w:val="16"/>
              </w:rPr>
              <w:t>TAXA_ABANDONO_ANOS_FINAIS</w:t>
            </w:r>
          </w:p>
        </w:tc>
        <w:tc>
          <w:tcPr>
            <w:tcW w:type="dxa" w:w="2351"/>
            <w:vAlign w:val="center"/>
          </w:tcPr>
          <w:p>
            <w:pPr>
              <w:jc w:val="left"/>
            </w:pPr>
            <w:r/>
            <w:r>
              <w:rPr>
                <w:rFonts w:ascii="Times New Roman" w:hAnsi="Times New Roman"/>
                <w:b w:val="0"/>
                <w:sz w:val="16"/>
              </w:rPr>
              <w:t>1,47%</w:t>
            </w:r>
          </w:p>
        </w:tc>
        <w:tc>
          <w:tcPr>
            <w:tcW w:type="dxa" w:w="2351"/>
            <w:vAlign w:val="center"/>
          </w:tcPr>
          <w:p>
            <w:pPr>
              <w:jc w:val="left"/>
            </w:pPr>
            <w:r/>
            <w:r>
              <w:rPr>
                <w:rFonts w:ascii="Times New Roman" w:hAnsi="Times New Roman"/>
                <w:b w:val="0"/>
                <w:sz w:val="16"/>
              </w:rPr>
              <w:t>1,10%</w:t>
            </w:r>
          </w:p>
        </w:tc>
        <w:tc>
          <w:tcPr>
            <w:tcW w:type="dxa" w:w="2351"/>
            <w:vAlign w:val="center"/>
          </w:tcPr>
          <w:p>
            <w:pPr>
              <w:jc w:val="left"/>
            </w:pPr>
            <w:r/>
            <w:r>
              <w:rPr>
                <w:rFonts w:ascii="Times New Roman" w:hAnsi="Times New Roman"/>
                <w:b w:val="0"/>
                <w:sz w:val="16"/>
              </w:rPr>
              <w:t>Maioria baixa, com máximos mais elevados</w:t>
            </w:r>
          </w:p>
        </w:tc>
      </w:tr>
    </w:tbl>
    <w:p>
      <w:pPr>
        <w:spacing w:after="160"/>
        <w:jc w:val="center"/>
      </w:pPr>
      <w:r>
        <w:rPr>
          <w:rFonts w:ascii="Times New Roman" w:hAnsi="Times New Roman"/>
          <w:i/>
          <w:sz w:val="20"/>
        </w:rPr>
        <w:t>Tabela 2 - Panorama geral dos principais indicadores em Minas Gerais.</w:t>
      </w:r>
    </w:p>
    <w:p>
      <w:pPr>
        <w:pStyle w:val="Heading2"/>
      </w:pPr>
      <w:r>
        <w:rPr>
          <w:rFonts w:ascii="Times New Roman" w:hAnsi="Times New Roman"/>
        </w:rPr>
        <w:t>5.1 Análise regional: Região Geográfica Intermediária de Uberaba</w:t>
      </w:r>
    </w:p>
    <w:p>
      <w:pPr>
        <w:spacing w:after="120" w:line="276" w:lineRule="auto"/>
        <w:ind w:firstLine="709"/>
      </w:pPr>
      <w:r>
        <w:rPr>
          <w:rFonts w:ascii="Times New Roman" w:hAnsi="Times New Roman"/>
          <w:sz w:val="24"/>
        </w:rPr>
        <w:t>A Região Geográfica Intermediária de Uberaba foi escolhida como recorte regional por ser uma divisão territorial oficial, por incluir Frutal e por permitir comparação mais específica do que a análise direta apenas com Minas Gerais. O recorte regional utilizado possui 29 municípios, todos encontrados no dataset final.</w:t>
      </w:r>
    </w:p>
    <w:tbl>
      <w:tblPr>
        <w:tblStyle w:val="TableGrid"/>
        <w:tblW w:type="auto" w:w="0"/>
        <w:jc w:val="center"/>
        <w:tblLook w:firstColumn="1" w:firstRow="1" w:lastColumn="0" w:lastRow="0" w:noHBand="0" w:noVBand="1" w:val="04A0"/>
      </w:tblPr>
      <w:tblGrid>
        <w:gridCol w:w="2351"/>
        <w:gridCol w:w="2351"/>
        <w:gridCol w:w="2351"/>
        <w:gridCol w:w="2351"/>
      </w:tblGrid>
      <w:tr>
        <w:trPr>
          <w:cantSplit/>
        </w:trPr>
        <w:tc>
          <w:tcPr>
            <w:tcW w:type="dxa" w:w="2351"/>
            <w:vAlign w:val="center"/>
            <w:shd w:fill="D9EAF7"/>
          </w:tcPr>
          <w:p>
            <w:pPr>
              <w:jc w:val="center"/>
            </w:pPr>
            <w:r/>
            <w:r>
              <w:rPr>
                <w:rFonts w:ascii="Times New Roman" w:hAnsi="Times New Roman"/>
                <w:b/>
                <w:sz w:val="16"/>
              </w:rPr>
              <w:t>Indicador</w:t>
            </w:r>
          </w:p>
        </w:tc>
        <w:tc>
          <w:tcPr>
            <w:tcW w:type="dxa" w:w="2351"/>
            <w:vAlign w:val="center"/>
            <w:shd w:fill="D9EAF7"/>
          </w:tcPr>
          <w:p>
            <w:pPr>
              <w:jc w:val="center"/>
            </w:pPr>
            <w:r/>
            <w:r>
              <w:rPr>
                <w:rFonts w:ascii="Times New Roman" w:hAnsi="Times New Roman"/>
                <w:b/>
                <w:sz w:val="16"/>
              </w:rPr>
              <w:t>Média MG</w:t>
            </w:r>
          </w:p>
        </w:tc>
        <w:tc>
          <w:tcPr>
            <w:tcW w:type="dxa" w:w="2351"/>
            <w:vAlign w:val="center"/>
            <w:shd w:fill="D9EAF7"/>
          </w:tcPr>
          <w:p>
            <w:pPr>
              <w:jc w:val="center"/>
            </w:pPr>
            <w:r/>
            <w:r>
              <w:rPr>
                <w:rFonts w:ascii="Times New Roman" w:hAnsi="Times New Roman"/>
                <w:b/>
                <w:sz w:val="16"/>
              </w:rPr>
              <w:t>Média RGInt Uberaba</w:t>
            </w:r>
          </w:p>
        </w:tc>
        <w:tc>
          <w:tcPr>
            <w:tcW w:type="dxa" w:w="2351"/>
            <w:vAlign w:val="center"/>
            <w:shd w:fill="D9EAF7"/>
          </w:tcPr>
          <w:p>
            <w:pPr>
              <w:jc w:val="center"/>
            </w:pPr>
            <w:r/>
            <w:r>
              <w:rPr>
                <w:rFonts w:ascii="Times New Roman" w:hAnsi="Times New Roman"/>
                <w:b/>
                <w:sz w:val="16"/>
              </w:rPr>
              <w:t>Diferença regional</w:t>
            </w:r>
          </w:p>
        </w:tc>
      </w:tr>
      <w:tr>
        <w:trPr>
          <w:cantSplit/>
        </w:trPr>
        <w:tc>
          <w:tcPr>
            <w:tcW w:type="dxa" w:w="2351"/>
            <w:vAlign w:val="center"/>
          </w:tcPr>
          <w:p>
            <w:pPr>
              <w:jc w:val="left"/>
            </w:pPr>
            <w:r/>
            <w:r>
              <w:rPr>
                <w:rFonts w:ascii="Times New Roman" w:hAnsi="Times New Roman"/>
                <w:b w:val="0"/>
                <w:sz w:val="16"/>
              </w:rPr>
              <w:t>MEDIA_INSE</w:t>
            </w:r>
          </w:p>
        </w:tc>
        <w:tc>
          <w:tcPr>
            <w:tcW w:type="dxa" w:w="2351"/>
            <w:vAlign w:val="center"/>
          </w:tcPr>
          <w:p>
            <w:pPr>
              <w:jc w:val="left"/>
            </w:pPr>
            <w:r/>
            <w:r>
              <w:rPr>
                <w:rFonts w:ascii="Times New Roman" w:hAnsi="Times New Roman"/>
                <w:b w:val="0"/>
                <w:sz w:val="16"/>
              </w:rPr>
              <w:t>4,9382</w:t>
            </w:r>
          </w:p>
        </w:tc>
        <w:tc>
          <w:tcPr>
            <w:tcW w:type="dxa" w:w="2351"/>
            <w:vAlign w:val="center"/>
          </w:tcPr>
          <w:p>
            <w:pPr>
              <w:jc w:val="left"/>
            </w:pPr>
            <w:r/>
            <w:r>
              <w:rPr>
                <w:rFonts w:ascii="Times New Roman" w:hAnsi="Times New Roman"/>
                <w:b w:val="0"/>
                <w:sz w:val="16"/>
              </w:rPr>
              <w:t>5,1873</w:t>
            </w:r>
          </w:p>
        </w:tc>
        <w:tc>
          <w:tcPr>
            <w:tcW w:type="dxa" w:w="2351"/>
            <w:vAlign w:val="center"/>
          </w:tcPr>
          <w:p>
            <w:pPr>
              <w:jc w:val="left"/>
            </w:pPr>
            <w:r/>
            <w:r>
              <w:rPr>
                <w:rFonts w:ascii="Times New Roman" w:hAnsi="Times New Roman"/>
                <w:b w:val="0"/>
                <w:sz w:val="16"/>
              </w:rPr>
              <w:t>+0,2491</w:t>
            </w:r>
          </w:p>
        </w:tc>
      </w:tr>
      <w:tr>
        <w:trPr>
          <w:cantSplit/>
        </w:trPr>
        <w:tc>
          <w:tcPr>
            <w:tcW w:type="dxa" w:w="2351"/>
            <w:vAlign w:val="center"/>
          </w:tcPr>
          <w:p>
            <w:pPr>
              <w:jc w:val="left"/>
            </w:pPr>
            <w:r/>
            <w:r>
              <w:rPr>
                <w:rFonts w:ascii="Times New Roman" w:hAnsi="Times New Roman"/>
                <w:b w:val="0"/>
                <w:sz w:val="16"/>
              </w:rPr>
              <w:t>TDI_ANOS_FINAIS</w:t>
            </w:r>
          </w:p>
        </w:tc>
        <w:tc>
          <w:tcPr>
            <w:tcW w:type="dxa" w:w="2351"/>
            <w:vAlign w:val="center"/>
          </w:tcPr>
          <w:p>
            <w:pPr>
              <w:jc w:val="left"/>
            </w:pPr>
            <w:r/>
            <w:r>
              <w:rPr>
                <w:rFonts w:ascii="Times New Roman" w:hAnsi="Times New Roman"/>
                <w:b w:val="0"/>
                <w:sz w:val="16"/>
              </w:rPr>
              <w:t>11,8601%</w:t>
            </w:r>
          </w:p>
        </w:tc>
        <w:tc>
          <w:tcPr>
            <w:tcW w:type="dxa" w:w="2351"/>
            <w:vAlign w:val="center"/>
          </w:tcPr>
          <w:p>
            <w:pPr>
              <w:jc w:val="left"/>
            </w:pPr>
            <w:r/>
            <w:r>
              <w:rPr>
                <w:rFonts w:ascii="Times New Roman" w:hAnsi="Times New Roman"/>
                <w:b w:val="0"/>
                <w:sz w:val="16"/>
              </w:rPr>
              <w:t>17,3621%</w:t>
            </w:r>
          </w:p>
        </w:tc>
        <w:tc>
          <w:tcPr>
            <w:tcW w:type="dxa" w:w="2351"/>
            <w:vAlign w:val="center"/>
          </w:tcPr>
          <w:p>
            <w:pPr>
              <w:jc w:val="left"/>
            </w:pPr>
            <w:r/>
            <w:r>
              <w:rPr>
                <w:rFonts w:ascii="Times New Roman" w:hAnsi="Times New Roman"/>
                <w:b w:val="0"/>
                <w:sz w:val="16"/>
              </w:rPr>
              <w:t>+5,5019 p.p.</w:t>
            </w:r>
          </w:p>
        </w:tc>
      </w:tr>
      <w:tr>
        <w:trPr>
          <w:cantSplit/>
        </w:trPr>
        <w:tc>
          <w:tcPr>
            <w:tcW w:type="dxa" w:w="2351"/>
            <w:vAlign w:val="center"/>
          </w:tcPr>
          <w:p>
            <w:pPr>
              <w:jc w:val="left"/>
            </w:pPr>
            <w:r/>
            <w:r>
              <w:rPr>
                <w:rFonts w:ascii="Times New Roman" w:hAnsi="Times New Roman"/>
                <w:b w:val="0"/>
                <w:sz w:val="16"/>
              </w:rPr>
              <w:t>MEDIA_ALUNOS_TURMA_ANOS_FINAIS</w:t>
            </w:r>
          </w:p>
        </w:tc>
        <w:tc>
          <w:tcPr>
            <w:tcW w:type="dxa" w:w="2351"/>
            <w:vAlign w:val="center"/>
          </w:tcPr>
          <w:p>
            <w:pPr>
              <w:jc w:val="left"/>
            </w:pPr>
            <w:r/>
            <w:r>
              <w:rPr>
                <w:rFonts w:ascii="Times New Roman" w:hAnsi="Times New Roman"/>
                <w:b w:val="0"/>
                <w:sz w:val="16"/>
              </w:rPr>
              <w:t>24,4871</w:t>
            </w:r>
          </w:p>
        </w:tc>
        <w:tc>
          <w:tcPr>
            <w:tcW w:type="dxa" w:w="2351"/>
            <w:vAlign w:val="center"/>
          </w:tcPr>
          <w:p>
            <w:pPr>
              <w:jc w:val="left"/>
            </w:pPr>
            <w:r/>
            <w:r>
              <w:rPr>
                <w:rFonts w:ascii="Times New Roman" w:hAnsi="Times New Roman"/>
                <w:b w:val="0"/>
                <w:sz w:val="16"/>
              </w:rPr>
              <w:t>25,7655</w:t>
            </w:r>
          </w:p>
        </w:tc>
        <w:tc>
          <w:tcPr>
            <w:tcW w:type="dxa" w:w="2351"/>
            <w:vAlign w:val="center"/>
          </w:tcPr>
          <w:p>
            <w:pPr>
              <w:jc w:val="left"/>
            </w:pPr>
            <w:r/>
            <w:r>
              <w:rPr>
                <w:rFonts w:ascii="Times New Roman" w:hAnsi="Times New Roman"/>
                <w:b w:val="0"/>
                <w:sz w:val="16"/>
              </w:rPr>
              <w:t>+1,2784</w:t>
            </w:r>
          </w:p>
        </w:tc>
      </w:tr>
      <w:tr>
        <w:trPr>
          <w:cantSplit/>
        </w:trPr>
        <w:tc>
          <w:tcPr>
            <w:tcW w:type="dxa" w:w="2351"/>
            <w:vAlign w:val="center"/>
          </w:tcPr>
          <w:p>
            <w:pPr>
              <w:jc w:val="left"/>
            </w:pPr>
            <w:r/>
            <w:r>
              <w:rPr>
                <w:rFonts w:ascii="Times New Roman" w:hAnsi="Times New Roman"/>
                <w:b w:val="0"/>
                <w:sz w:val="16"/>
              </w:rPr>
              <w:t>TAXA_ABANDONO_ANOS_FINAIS</w:t>
            </w:r>
          </w:p>
        </w:tc>
        <w:tc>
          <w:tcPr>
            <w:tcW w:type="dxa" w:w="2351"/>
            <w:vAlign w:val="center"/>
          </w:tcPr>
          <w:p>
            <w:pPr>
              <w:jc w:val="left"/>
            </w:pPr>
            <w:r/>
            <w:r>
              <w:rPr>
                <w:rFonts w:ascii="Times New Roman" w:hAnsi="Times New Roman"/>
                <w:b w:val="0"/>
                <w:sz w:val="16"/>
              </w:rPr>
              <w:t>1,4689%</w:t>
            </w:r>
          </w:p>
        </w:tc>
        <w:tc>
          <w:tcPr>
            <w:tcW w:type="dxa" w:w="2351"/>
            <w:vAlign w:val="center"/>
          </w:tcPr>
          <w:p>
            <w:pPr>
              <w:jc w:val="left"/>
            </w:pPr>
            <w:r/>
            <w:r>
              <w:rPr>
                <w:rFonts w:ascii="Times New Roman" w:hAnsi="Times New Roman"/>
                <w:b w:val="0"/>
                <w:sz w:val="16"/>
              </w:rPr>
              <w:t>1,6172%</w:t>
            </w:r>
          </w:p>
        </w:tc>
        <w:tc>
          <w:tcPr>
            <w:tcW w:type="dxa" w:w="2351"/>
            <w:vAlign w:val="center"/>
          </w:tcPr>
          <w:p>
            <w:pPr>
              <w:jc w:val="left"/>
            </w:pPr>
            <w:r/>
            <w:r>
              <w:rPr>
                <w:rFonts w:ascii="Times New Roman" w:hAnsi="Times New Roman"/>
                <w:b w:val="0"/>
                <w:sz w:val="16"/>
              </w:rPr>
              <w:t>+0,1483 p.p.</w:t>
            </w:r>
          </w:p>
        </w:tc>
      </w:tr>
    </w:tbl>
    <w:p>
      <w:pPr>
        <w:spacing w:after="160"/>
        <w:jc w:val="center"/>
      </w:pPr>
      <w:r>
        <w:rPr>
          <w:rFonts w:ascii="Times New Roman" w:hAnsi="Times New Roman"/>
          <w:i/>
          <w:sz w:val="20"/>
        </w:rPr>
        <w:t>Tabela 3 - Comparação entre Minas Gerais e a Região Geográfica Intermediária de Uberaba.</w:t>
      </w:r>
    </w:p>
    <w:p>
      <w:pPr>
        <w:spacing w:after="120" w:line="276" w:lineRule="auto"/>
        <w:ind w:firstLine="709"/>
      </w:pPr>
      <w:r>
        <w:rPr>
          <w:rFonts w:ascii="Times New Roman" w:hAnsi="Times New Roman"/>
          <w:sz w:val="24"/>
        </w:rPr>
        <w:t>A região apresentou nível socioeconômico médio superior ao estado, mas também apresentou TDI consideravelmente mais elevada. Esse resultado indica que melhores condições socioeconômicas médias não eliminam desafios relacionados ao atraso escolar.</w:t>
      </w:r>
    </w:p>
    <w:p>
      <w:pPr>
        <w:pStyle w:val="Heading2"/>
      </w:pPr>
      <w:r>
        <w:rPr>
          <w:rFonts w:ascii="Times New Roman" w:hAnsi="Times New Roman"/>
        </w:rPr>
        <w:t>5.2 Estudo de caso: Frutal</w:t>
      </w:r>
    </w:p>
    <w:p>
      <w:pPr>
        <w:spacing w:after="120" w:line="276" w:lineRule="auto"/>
        <w:ind w:firstLine="709"/>
      </w:pPr>
      <w:r>
        <w:rPr>
          <w:rFonts w:ascii="Times New Roman" w:hAnsi="Times New Roman"/>
          <w:sz w:val="24"/>
        </w:rPr>
        <w:t>Frutal foi analisado em comparação com Minas Gerais e com a Região Geográfica Intermediária de Uberaba. O município apresentou MEDIA_INSE de 5,1652, superior à média estadual, mas ligeiramente inferior à média regional. A TDI foi de 13,4%, acima da média de Minas Gerais, mas abaixo da média regional. A média de alunos por turma foi de 26,2, acima dos dois recortes. A taxa de abandono foi de 1,5%, próxima da média estadual e ligeiramente inferior à média regional.</w:t>
      </w:r>
    </w:p>
    <w:tbl>
      <w:tblPr>
        <w:tblStyle w:val="TableGrid"/>
        <w:tblW w:type="auto" w:w="0"/>
        <w:jc w:val="center"/>
        <w:tblLook w:firstColumn="1" w:firstRow="1" w:lastColumn="0" w:lastRow="0" w:noHBand="0" w:noVBand="1" w:val="04A0"/>
      </w:tblPr>
      <w:tblGrid>
        <w:gridCol w:w="2351"/>
        <w:gridCol w:w="2351"/>
        <w:gridCol w:w="2351"/>
        <w:gridCol w:w="2351"/>
      </w:tblGrid>
      <w:tr>
        <w:trPr>
          <w:cantSplit/>
        </w:trPr>
        <w:tc>
          <w:tcPr>
            <w:tcW w:type="dxa" w:w="2351"/>
            <w:vAlign w:val="center"/>
            <w:shd w:fill="D9EAF7"/>
          </w:tcPr>
          <w:p>
            <w:pPr>
              <w:jc w:val="center"/>
            </w:pPr>
            <w:r/>
            <w:r>
              <w:rPr>
                <w:rFonts w:ascii="Times New Roman" w:hAnsi="Times New Roman"/>
                <w:b/>
                <w:sz w:val="16"/>
              </w:rPr>
              <w:t>Indicador</w:t>
            </w:r>
          </w:p>
        </w:tc>
        <w:tc>
          <w:tcPr>
            <w:tcW w:type="dxa" w:w="2351"/>
            <w:vAlign w:val="center"/>
            <w:shd w:fill="D9EAF7"/>
          </w:tcPr>
          <w:p>
            <w:pPr>
              <w:jc w:val="center"/>
            </w:pPr>
            <w:r/>
            <w:r>
              <w:rPr>
                <w:rFonts w:ascii="Times New Roman" w:hAnsi="Times New Roman"/>
                <w:b/>
                <w:sz w:val="16"/>
              </w:rPr>
              <w:t>Frutal</w:t>
            </w:r>
          </w:p>
        </w:tc>
        <w:tc>
          <w:tcPr>
            <w:tcW w:type="dxa" w:w="2351"/>
            <w:vAlign w:val="center"/>
            <w:shd w:fill="D9EAF7"/>
          </w:tcPr>
          <w:p>
            <w:pPr>
              <w:jc w:val="center"/>
            </w:pPr>
            <w:r/>
            <w:r>
              <w:rPr>
                <w:rFonts w:ascii="Times New Roman" w:hAnsi="Times New Roman"/>
                <w:b/>
                <w:sz w:val="16"/>
              </w:rPr>
              <w:t>Média MG</w:t>
            </w:r>
          </w:p>
        </w:tc>
        <w:tc>
          <w:tcPr>
            <w:tcW w:type="dxa" w:w="2351"/>
            <w:vAlign w:val="center"/>
            <w:shd w:fill="D9EAF7"/>
          </w:tcPr>
          <w:p>
            <w:pPr>
              <w:jc w:val="center"/>
            </w:pPr>
            <w:r/>
            <w:r>
              <w:rPr>
                <w:rFonts w:ascii="Times New Roman" w:hAnsi="Times New Roman"/>
                <w:b/>
                <w:sz w:val="16"/>
              </w:rPr>
              <w:t>Média RGInt Uberaba</w:t>
            </w:r>
          </w:p>
        </w:tc>
      </w:tr>
      <w:tr>
        <w:trPr>
          <w:cantSplit/>
        </w:trPr>
        <w:tc>
          <w:tcPr>
            <w:tcW w:type="dxa" w:w="2351"/>
            <w:vAlign w:val="center"/>
          </w:tcPr>
          <w:p>
            <w:pPr>
              <w:jc w:val="left"/>
            </w:pPr>
            <w:r/>
            <w:r>
              <w:rPr>
                <w:rFonts w:ascii="Times New Roman" w:hAnsi="Times New Roman"/>
                <w:b w:val="0"/>
                <w:sz w:val="16"/>
              </w:rPr>
              <w:t>MEDIA_INSE</w:t>
            </w:r>
          </w:p>
        </w:tc>
        <w:tc>
          <w:tcPr>
            <w:tcW w:type="dxa" w:w="2351"/>
            <w:vAlign w:val="center"/>
          </w:tcPr>
          <w:p>
            <w:pPr>
              <w:jc w:val="left"/>
            </w:pPr>
            <w:r/>
            <w:r>
              <w:rPr>
                <w:rFonts w:ascii="Times New Roman" w:hAnsi="Times New Roman"/>
                <w:b w:val="0"/>
                <w:sz w:val="16"/>
              </w:rPr>
              <w:t>5,1652</w:t>
            </w:r>
          </w:p>
        </w:tc>
        <w:tc>
          <w:tcPr>
            <w:tcW w:type="dxa" w:w="2351"/>
            <w:vAlign w:val="center"/>
          </w:tcPr>
          <w:p>
            <w:pPr>
              <w:jc w:val="left"/>
            </w:pPr>
            <w:r/>
            <w:r>
              <w:rPr>
                <w:rFonts w:ascii="Times New Roman" w:hAnsi="Times New Roman"/>
                <w:b w:val="0"/>
                <w:sz w:val="16"/>
              </w:rPr>
              <w:t>4,9382</w:t>
            </w:r>
          </w:p>
        </w:tc>
        <w:tc>
          <w:tcPr>
            <w:tcW w:type="dxa" w:w="2351"/>
            <w:vAlign w:val="center"/>
          </w:tcPr>
          <w:p>
            <w:pPr>
              <w:jc w:val="left"/>
            </w:pPr>
            <w:r/>
            <w:r>
              <w:rPr>
                <w:rFonts w:ascii="Times New Roman" w:hAnsi="Times New Roman"/>
                <w:b w:val="0"/>
                <w:sz w:val="16"/>
              </w:rPr>
              <w:t>5,1873</w:t>
            </w:r>
          </w:p>
        </w:tc>
      </w:tr>
      <w:tr>
        <w:trPr>
          <w:cantSplit/>
        </w:trPr>
        <w:tc>
          <w:tcPr>
            <w:tcW w:type="dxa" w:w="2351"/>
            <w:vAlign w:val="center"/>
          </w:tcPr>
          <w:p>
            <w:pPr>
              <w:jc w:val="left"/>
            </w:pPr>
            <w:r/>
            <w:r>
              <w:rPr>
                <w:rFonts w:ascii="Times New Roman" w:hAnsi="Times New Roman"/>
                <w:b w:val="0"/>
                <w:sz w:val="16"/>
              </w:rPr>
              <w:t>TDI_ANOS_FINAIS</w:t>
            </w:r>
          </w:p>
        </w:tc>
        <w:tc>
          <w:tcPr>
            <w:tcW w:type="dxa" w:w="2351"/>
            <w:vAlign w:val="center"/>
          </w:tcPr>
          <w:p>
            <w:pPr>
              <w:jc w:val="left"/>
            </w:pPr>
            <w:r/>
            <w:r>
              <w:rPr>
                <w:rFonts w:ascii="Times New Roman" w:hAnsi="Times New Roman"/>
                <w:b w:val="0"/>
                <w:sz w:val="16"/>
              </w:rPr>
              <w:t>13,4%</w:t>
            </w:r>
          </w:p>
        </w:tc>
        <w:tc>
          <w:tcPr>
            <w:tcW w:type="dxa" w:w="2351"/>
            <w:vAlign w:val="center"/>
          </w:tcPr>
          <w:p>
            <w:pPr>
              <w:jc w:val="left"/>
            </w:pPr>
            <w:r/>
            <w:r>
              <w:rPr>
                <w:rFonts w:ascii="Times New Roman" w:hAnsi="Times New Roman"/>
                <w:b w:val="0"/>
                <w:sz w:val="16"/>
              </w:rPr>
              <w:t>11,86%</w:t>
            </w:r>
          </w:p>
        </w:tc>
        <w:tc>
          <w:tcPr>
            <w:tcW w:type="dxa" w:w="2351"/>
            <w:vAlign w:val="center"/>
          </w:tcPr>
          <w:p>
            <w:pPr>
              <w:jc w:val="left"/>
            </w:pPr>
            <w:r/>
            <w:r>
              <w:rPr>
                <w:rFonts w:ascii="Times New Roman" w:hAnsi="Times New Roman"/>
                <w:b w:val="0"/>
                <w:sz w:val="16"/>
              </w:rPr>
              <w:t>17,36%</w:t>
            </w:r>
          </w:p>
        </w:tc>
      </w:tr>
      <w:tr>
        <w:trPr>
          <w:cantSplit/>
        </w:trPr>
        <w:tc>
          <w:tcPr>
            <w:tcW w:type="dxa" w:w="2351"/>
            <w:vAlign w:val="center"/>
          </w:tcPr>
          <w:p>
            <w:pPr>
              <w:jc w:val="left"/>
            </w:pPr>
            <w:r/>
            <w:r>
              <w:rPr>
                <w:rFonts w:ascii="Times New Roman" w:hAnsi="Times New Roman"/>
                <w:b w:val="0"/>
                <w:sz w:val="16"/>
              </w:rPr>
              <w:t>MEDIA_ALUNOS_TURMA_ANOS_FINAIS</w:t>
            </w:r>
          </w:p>
        </w:tc>
        <w:tc>
          <w:tcPr>
            <w:tcW w:type="dxa" w:w="2351"/>
            <w:vAlign w:val="center"/>
          </w:tcPr>
          <w:p>
            <w:pPr>
              <w:jc w:val="left"/>
            </w:pPr>
            <w:r/>
            <w:r>
              <w:rPr>
                <w:rFonts w:ascii="Times New Roman" w:hAnsi="Times New Roman"/>
                <w:b w:val="0"/>
                <w:sz w:val="16"/>
              </w:rPr>
              <w:t>26,2</w:t>
            </w:r>
          </w:p>
        </w:tc>
        <w:tc>
          <w:tcPr>
            <w:tcW w:type="dxa" w:w="2351"/>
            <w:vAlign w:val="center"/>
          </w:tcPr>
          <w:p>
            <w:pPr>
              <w:jc w:val="left"/>
            </w:pPr>
            <w:r/>
            <w:r>
              <w:rPr>
                <w:rFonts w:ascii="Times New Roman" w:hAnsi="Times New Roman"/>
                <w:b w:val="0"/>
                <w:sz w:val="16"/>
              </w:rPr>
              <w:t>24,49</w:t>
            </w:r>
          </w:p>
        </w:tc>
        <w:tc>
          <w:tcPr>
            <w:tcW w:type="dxa" w:w="2351"/>
            <w:vAlign w:val="center"/>
          </w:tcPr>
          <w:p>
            <w:pPr>
              <w:jc w:val="left"/>
            </w:pPr>
            <w:r/>
            <w:r>
              <w:rPr>
                <w:rFonts w:ascii="Times New Roman" w:hAnsi="Times New Roman"/>
                <w:b w:val="0"/>
                <w:sz w:val="16"/>
              </w:rPr>
              <w:t>25,77</w:t>
            </w:r>
          </w:p>
        </w:tc>
      </w:tr>
      <w:tr>
        <w:trPr>
          <w:cantSplit/>
        </w:trPr>
        <w:tc>
          <w:tcPr>
            <w:tcW w:type="dxa" w:w="2351"/>
            <w:vAlign w:val="center"/>
          </w:tcPr>
          <w:p>
            <w:pPr>
              <w:jc w:val="left"/>
            </w:pPr>
            <w:r/>
            <w:r>
              <w:rPr>
                <w:rFonts w:ascii="Times New Roman" w:hAnsi="Times New Roman"/>
                <w:b w:val="0"/>
                <w:sz w:val="16"/>
              </w:rPr>
              <w:t>TAXA_ABANDONO_ANOS_FINAIS</w:t>
            </w:r>
          </w:p>
        </w:tc>
        <w:tc>
          <w:tcPr>
            <w:tcW w:type="dxa" w:w="2351"/>
            <w:vAlign w:val="center"/>
          </w:tcPr>
          <w:p>
            <w:pPr>
              <w:jc w:val="left"/>
            </w:pPr>
            <w:r/>
            <w:r>
              <w:rPr>
                <w:rFonts w:ascii="Times New Roman" w:hAnsi="Times New Roman"/>
                <w:b w:val="0"/>
                <w:sz w:val="16"/>
              </w:rPr>
              <w:t>1,5%</w:t>
            </w:r>
          </w:p>
        </w:tc>
        <w:tc>
          <w:tcPr>
            <w:tcW w:type="dxa" w:w="2351"/>
            <w:vAlign w:val="center"/>
          </w:tcPr>
          <w:p>
            <w:pPr>
              <w:jc w:val="left"/>
            </w:pPr>
            <w:r/>
            <w:r>
              <w:rPr>
                <w:rFonts w:ascii="Times New Roman" w:hAnsi="Times New Roman"/>
                <w:b w:val="0"/>
                <w:sz w:val="16"/>
              </w:rPr>
              <w:t>1,47%</w:t>
            </w:r>
          </w:p>
        </w:tc>
        <w:tc>
          <w:tcPr>
            <w:tcW w:type="dxa" w:w="2351"/>
            <w:vAlign w:val="center"/>
          </w:tcPr>
          <w:p>
            <w:pPr>
              <w:jc w:val="left"/>
            </w:pPr>
            <w:r/>
            <w:r>
              <w:rPr>
                <w:rFonts w:ascii="Times New Roman" w:hAnsi="Times New Roman"/>
                <w:b w:val="0"/>
                <w:sz w:val="16"/>
              </w:rPr>
              <w:t>1,62%</w:t>
            </w:r>
          </w:p>
        </w:tc>
      </w:tr>
    </w:tbl>
    <w:p>
      <w:pPr>
        <w:spacing w:after="160"/>
        <w:jc w:val="center"/>
      </w:pPr>
      <w:r>
        <w:rPr>
          <w:rFonts w:ascii="Times New Roman" w:hAnsi="Times New Roman"/>
          <w:i/>
          <w:sz w:val="20"/>
        </w:rPr>
        <w:t>Tabela 4 - Comparação de Frutal com Minas Gerais e com a região.</w:t>
      </w:r>
    </w:p>
    <w:p>
      <w:pPr>
        <w:spacing w:after="120" w:line="276" w:lineRule="auto"/>
        <w:ind w:firstLine="709"/>
      </w:pPr>
      <w:r>
        <w:rPr>
          <w:rFonts w:ascii="Times New Roman" w:hAnsi="Times New Roman"/>
          <w:sz w:val="24"/>
        </w:rPr>
        <w:t>No ranking de abandono escolar, ordenado do maior para o menor abandono, Frutal ocupou a 345ª posição entre os 853 municípios de Minas Gerais e a 13ª posição entre os 29 municípios da Região Intermediária de Uberaba. Assim, Frutal se caracteriza como um caso intermediário, não estando entre os municípios mais críticos, mas também não figurando entre os menores abandonos.</w:t>
      </w:r>
    </w:p>
    <w:p>
      <w:r>
        <w:rPr>
          <w:rFonts w:ascii="Times New Roman" w:hAnsi="Times New Roman"/>
        </w:rPr>
        <w:drawing>
          <wp:inline xmlns:a="http://schemas.openxmlformats.org/drawingml/2006/main" xmlns:pic="http://schemas.openxmlformats.org/drawingml/2006/picture">
            <wp:extent cx="5029200" cy="3233057"/>
            <wp:docPr id="1" name="Picture 1"/>
            <wp:cNvGraphicFramePr>
              <a:graphicFrameLocks noChangeAspect="1"/>
            </wp:cNvGraphicFramePr>
            <a:graphic>
              <a:graphicData uri="http://schemas.openxmlformats.org/drawingml/2006/picture">
                <pic:pic>
                  <pic:nvPicPr>
                    <pic:cNvPr id="0" name="fig_comp_abandono.png"/>
                    <pic:cNvPicPr/>
                  </pic:nvPicPr>
                  <pic:blipFill>
                    <a:blip r:embed="rId9"/>
                    <a:stretch>
                      <a:fillRect/>
                    </a:stretch>
                  </pic:blipFill>
                  <pic:spPr>
                    <a:xfrm>
                      <a:off x="0" y="0"/>
                      <a:ext cx="5029200" cy="3233057"/>
                    </a:xfrm>
                    <a:prstGeom prst="rect"/>
                  </pic:spPr>
                </pic:pic>
              </a:graphicData>
            </a:graphic>
          </wp:inline>
        </w:drawing>
      </w:r>
    </w:p>
    <w:p>
      <w:pPr>
        <w:spacing w:after="160"/>
        <w:jc w:val="center"/>
      </w:pPr>
      <w:r>
        <w:rPr>
          <w:rFonts w:ascii="Times New Roman" w:hAnsi="Times New Roman"/>
          <w:i/>
          <w:sz w:val="20"/>
        </w:rPr>
        <w:t>Figura 1 - Comparação da taxa de abandono entre Minas Gerais, região e Frutal.</w:t>
      </w:r>
    </w:p>
    <w:p>
      <w:pPr>
        <w:pStyle w:val="Heading2"/>
      </w:pPr>
      <w:r>
        <w:rPr>
          <w:rFonts w:ascii="Times New Roman" w:hAnsi="Times New Roman"/>
        </w:rPr>
        <w:t>5.3 Distribuição da taxa de abandono e correlações</w:t>
      </w:r>
    </w:p>
    <w:p>
      <w:pPr>
        <w:spacing w:after="120" w:line="276" w:lineRule="auto"/>
        <w:ind w:firstLine="709"/>
      </w:pPr>
      <w:r>
        <w:rPr>
          <w:rFonts w:ascii="Times New Roman" w:hAnsi="Times New Roman"/>
          <w:sz w:val="24"/>
        </w:rPr>
        <w:t>A distribuição da Taxa de Abandono Escolar mostrou concentração em valores baixos. Foram identificados 140 municípios com abandono igual a zero, correspondendo a 16,41% dos municípios analisados. Os quartis foram: 25% dos municípios até 0,4%, mediana de 1,1% e 75% até 2,1%.</w:t>
      </w:r>
    </w:p>
    <w:p>
      <w:pPr>
        <w:spacing w:after="120" w:line="276" w:lineRule="auto"/>
        <w:ind w:firstLine="709"/>
      </w:pPr>
      <w:r>
        <w:rPr>
          <w:rFonts w:ascii="Times New Roman" w:hAnsi="Times New Roman"/>
          <w:sz w:val="24"/>
        </w:rPr>
        <w:t>A matriz de correlação indicou que a variável mais associada à taxa de abandono foi a TDI, com correlação de 0,302. A média de alunos por turma apresentou correlação de 0,196. O INSE apresentou correlação de -0,050, valor muito próximo de zero. As variáveis de regularidade docente apresentaram correlações baixas com a taxa de abandono.</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3135"/>
            <w:vAlign w:val="center"/>
            <w:shd w:fill="D9EAF7"/>
          </w:tcPr>
          <w:p>
            <w:pPr>
              <w:jc w:val="center"/>
            </w:pPr>
            <w:r/>
            <w:r>
              <w:rPr>
                <w:rFonts w:ascii="Times New Roman" w:hAnsi="Times New Roman"/>
                <w:b/>
                <w:sz w:val="16"/>
              </w:rPr>
              <w:t>Variável</w:t>
            </w:r>
          </w:p>
        </w:tc>
        <w:tc>
          <w:tcPr>
            <w:tcW w:type="dxa" w:w="3135"/>
            <w:vAlign w:val="center"/>
            <w:shd w:fill="D9EAF7"/>
          </w:tcPr>
          <w:p>
            <w:pPr>
              <w:jc w:val="center"/>
            </w:pPr>
            <w:r/>
            <w:r>
              <w:rPr>
                <w:rFonts w:ascii="Times New Roman" w:hAnsi="Times New Roman"/>
                <w:b/>
                <w:sz w:val="16"/>
              </w:rPr>
              <w:t>Correlação com abandono</w:t>
            </w:r>
          </w:p>
        </w:tc>
        <w:tc>
          <w:tcPr>
            <w:tcW w:type="dxa" w:w="3135"/>
            <w:vAlign w:val="center"/>
            <w:shd w:fill="D9EAF7"/>
          </w:tcPr>
          <w:p>
            <w:pPr>
              <w:jc w:val="center"/>
            </w:pPr>
            <w:r/>
            <w:r>
              <w:rPr>
                <w:rFonts w:ascii="Times New Roman" w:hAnsi="Times New Roman"/>
                <w:b/>
                <w:sz w:val="16"/>
              </w:rPr>
              <w:t>Interpretação</w:t>
            </w:r>
          </w:p>
        </w:tc>
      </w:tr>
      <w:tr>
        <w:trPr>
          <w:cantSplit/>
        </w:trPr>
        <w:tc>
          <w:tcPr>
            <w:tcW w:type="dxa" w:w="3135"/>
            <w:vAlign w:val="center"/>
          </w:tcPr>
          <w:p>
            <w:pPr>
              <w:jc w:val="left"/>
            </w:pPr>
            <w:r/>
            <w:r>
              <w:rPr>
                <w:rFonts w:ascii="Times New Roman" w:hAnsi="Times New Roman"/>
                <w:b w:val="0"/>
                <w:sz w:val="16"/>
              </w:rPr>
              <w:t>TDI_ANOS_FINAIS</w:t>
            </w:r>
          </w:p>
        </w:tc>
        <w:tc>
          <w:tcPr>
            <w:tcW w:type="dxa" w:w="3135"/>
            <w:vAlign w:val="center"/>
          </w:tcPr>
          <w:p>
            <w:pPr>
              <w:jc w:val="left"/>
            </w:pPr>
            <w:r/>
            <w:r>
              <w:rPr>
                <w:rFonts w:ascii="Times New Roman" w:hAnsi="Times New Roman"/>
                <w:b w:val="0"/>
                <w:sz w:val="16"/>
              </w:rPr>
              <w:t>0,302</w:t>
            </w:r>
          </w:p>
        </w:tc>
        <w:tc>
          <w:tcPr>
            <w:tcW w:type="dxa" w:w="3135"/>
            <w:vAlign w:val="center"/>
          </w:tcPr>
          <w:p>
            <w:pPr>
              <w:jc w:val="left"/>
            </w:pPr>
            <w:r/>
            <w:r>
              <w:rPr>
                <w:rFonts w:ascii="Times New Roman" w:hAnsi="Times New Roman"/>
                <w:b w:val="0"/>
                <w:sz w:val="16"/>
              </w:rPr>
              <w:t>Associação positiva fraca a moderada</w:t>
            </w:r>
          </w:p>
        </w:tc>
      </w:tr>
      <w:tr>
        <w:trPr>
          <w:cantSplit/>
        </w:trPr>
        <w:tc>
          <w:tcPr>
            <w:tcW w:type="dxa" w:w="3135"/>
            <w:vAlign w:val="center"/>
          </w:tcPr>
          <w:p>
            <w:pPr>
              <w:jc w:val="left"/>
            </w:pPr>
            <w:r/>
            <w:r>
              <w:rPr>
                <w:rFonts w:ascii="Times New Roman" w:hAnsi="Times New Roman"/>
                <w:b w:val="0"/>
                <w:sz w:val="16"/>
              </w:rPr>
              <w:t>MEDIA_ALUNOS_TURMA_ANOS_FINAIS</w:t>
            </w:r>
          </w:p>
        </w:tc>
        <w:tc>
          <w:tcPr>
            <w:tcW w:type="dxa" w:w="3135"/>
            <w:vAlign w:val="center"/>
          </w:tcPr>
          <w:p>
            <w:pPr>
              <w:jc w:val="left"/>
            </w:pPr>
            <w:r/>
            <w:r>
              <w:rPr>
                <w:rFonts w:ascii="Times New Roman" w:hAnsi="Times New Roman"/>
                <w:b w:val="0"/>
                <w:sz w:val="16"/>
              </w:rPr>
              <w:t>0,196</w:t>
            </w:r>
          </w:p>
        </w:tc>
        <w:tc>
          <w:tcPr>
            <w:tcW w:type="dxa" w:w="3135"/>
            <w:vAlign w:val="center"/>
          </w:tcPr>
          <w:p>
            <w:pPr>
              <w:jc w:val="left"/>
            </w:pPr>
            <w:r/>
            <w:r>
              <w:rPr>
                <w:rFonts w:ascii="Times New Roman" w:hAnsi="Times New Roman"/>
                <w:b w:val="0"/>
                <w:sz w:val="16"/>
              </w:rPr>
              <w:t>Associação positiva fraca</w:t>
            </w:r>
          </w:p>
        </w:tc>
      </w:tr>
      <w:tr>
        <w:trPr>
          <w:cantSplit/>
        </w:trPr>
        <w:tc>
          <w:tcPr>
            <w:tcW w:type="dxa" w:w="3135"/>
            <w:vAlign w:val="center"/>
          </w:tcPr>
          <w:p>
            <w:pPr>
              <w:jc w:val="left"/>
            </w:pPr>
            <w:r/>
            <w:r>
              <w:rPr>
                <w:rFonts w:ascii="Times New Roman" w:hAnsi="Times New Roman"/>
                <w:b w:val="0"/>
                <w:sz w:val="16"/>
              </w:rPr>
              <w:t>MEDIA_INSE</w:t>
            </w:r>
          </w:p>
        </w:tc>
        <w:tc>
          <w:tcPr>
            <w:tcW w:type="dxa" w:w="3135"/>
            <w:vAlign w:val="center"/>
          </w:tcPr>
          <w:p>
            <w:pPr>
              <w:jc w:val="left"/>
            </w:pPr>
            <w:r/>
            <w:r>
              <w:rPr>
                <w:rFonts w:ascii="Times New Roman" w:hAnsi="Times New Roman"/>
                <w:b w:val="0"/>
                <w:sz w:val="16"/>
              </w:rPr>
              <w:t>-0,050</w:t>
            </w:r>
          </w:p>
        </w:tc>
        <w:tc>
          <w:tcPr>
            <w:tcW w:type="dxa" w:w="3135"/>
            <w:vAlign w:val="center"/>
          </w:tcPr>
          <w:p>
            <w:pPr>
              <w:jc w:val="left"/>
            </w:pPr>
            <w:r/>
            <w:r>
              <w:rPr>
                <w:rFonts w:ascii="Times New Roman" w:hAnsi="Times New Roman"/>
                <w:b w:val="0"/>
                <w:sz w:val="16"/>
              </w:rPr>
              <w:t>Associação linear muito fraca</w:t>
            </w:r>
          </w:p>
        </w:tc>
      </w:tr>
      <w:tr>
        <w:trPr>
          <w:cantSplit/>
        </w:trPr>
        <w:tc>
          <w:tcPr>
            <w:tcW w:type="dxa" w:w="3135"/>
            <w:vAlign w:val="center"/>
          </w:tcPr>
          <w:p>
            <w:pPr>
              <w:jc w:val="left"/>
            </w:pPr>
            <w:r/>
            <w:r>
              <w:rPr>
                <w:rFonts w:ascii="Times New Roman" w:hAnsi="Times New Roman"/>
                <w:b w:val="0"/>
                <w:sz w:val="16"/>
              </w:rPr>
              <w:t>Regularidade docente</w:t>
            </w:r>
          </w:p>
        </w:tc>
        <w:tc>
          <w:tcPr>
            <w:tcW w:type="dxa" w:w="3135"/>
            <w:vAlign w:val="center"/>
          </w:tcPr>
          <w:p>
            <w:pPr>
              <w:jc w:val="left"/>
            </w:pPr>
            <w:r/>
            <w:r>
              <w:rPr>
                <w:rFonts w:ascii="Times New Roman" w:hAnsi="Times New Roman"/>
                <w:b w:val="0"/>
                <w:sz w:val="16"/>
              </w:rPr>
              <w:t>Próximo de 0</w:t>
            </w:r>
          </w:p>
        </w:tc>
        <w:tc>
          <w:tcPr>
            <w:tcW w:type="dxa" w:w="3135"/>
            <w:vAlign w:val="center"/>
          </w:tcPr>
          <w:p>
            <w:pPr>
              <w:jc w:val="left"/>
            </w:pPr>
            <w:r/>
            <w:r>
              <w:rPr>
                <w:rFonts w:ascii="Times New Roman" w:hAnsi="Times New Roman"/>
                <w:b w:val="0"/>
                <w:sz w:val="16"/>
              </w:rPr>
              <w:t>Sem associação linear expressiva</w:t>
            </w:r>
          </w:p>
        </w:tc>
      </w:tr>
    </w:tbl>
    <w:p>
      <w:pPr>
        <w:spacing w:after="160"/>
        <w:jc w:val="center"/>
      </w:pPr>
      <w:r>
        <w:rPr>
          <w:rFonts w:ascii="Times New Roman" w:hAnsi="Times New Roman"/>
          <w:i/>
          <w:sz w:val="20"/>
        </w:rPr>
        <w:t>Tabela 5 - Principais correlações com a taxa de abandono escolar.</w:t>
      </w:r>
    </w:p>
    <w:p>
      <w:pPr>
        <w:pStyle w:val="Heading1"/>
      </w:pPr>
      <w:r>
        <w:rPr>
          <w:rFonts w:ascii="Times New Roman" w:hAnsi="Times New Roman"/>
        </w:rPr>
        <w:t>6 Criação da variável-alvo categórica</w:t>
      </w:r>
    </w:p>
    <w:p>
      <w:pPr>
        <w:spacing w:after="120" w:line="276" w:lineRule="auto"/>
        <w:ind w:firstLine="709"/>
      </w:pPr>
      <w:r>
        <w:rPr>
          <w:rFonts w:ascii="Times New Roman" w:hAnsi="Times New Roman"/>
          <w:sz w:val="24"/>
        </w:rPr>
        <w:t>Como o objetivo do trabalho é construir modelos de classificação, a variável numérica TAXA_ABANDONO_ANOS_FINAIS foi transformada em uma variável categórica chamada CLASSE_ABANDONO. A criação das classes foi baseada nos quartis da taxa de abandono escolar em Minas Gerais no ano de 2023.</w:t>
      </w:r>
    </w:p>
    <w:p>
      <w:pPr>
        <w:spacing w:after="120" w:line="276" w:lineRule="auto"/>
        <w:ind w:firstLine="709"/>
      </w:pPr>
      <w:r>
        <w:rPr>
          <w:rFonts w:ascii="Times New Roman" w:hAnsi="Times New Roman"/>
          <w:sz w:val="24"/>
        </w:rPr>
        <w:t>O primeiro quartil foi 0,4%, a mediana foi 1,1% e o terceiro quartil foi 2,1%. Municípios com abandono até 0,4% foram classificados como baixo risco; municípios com abandono acima de 0,4% e até 2,1% foram classificados como médio risco; e municípios com abandono acima de 2,1% foram classificados como alto risco.</w:t>
      </w:r>
    </w:p>
    <w:tbl>
      <w:tblPr>
        <w:tblStyle w:val="TableGrid"/>
        <w:tblW w:type="auto" w:w="0"/>
        <w:jc w:val="center"/>
        <w:tblLook w:firstColumn="1" w:firstRow="1" w:lastColumn="0" w:lastRow="0" w:noHBand="0" w:noVBand="1" w:val="04A0"/>
      </w:tblPr>
      <w:tblGrid>
        <w:gridCol w:w="2351"/>
        <w:gridCol w:w="2351"/>
        <w:gridCol w:w="2351"/>
        <w:gridCol w:w="2351"/>
      </w:tblGrid>
      <w:tr>
        <w:trPr>
          <w:cantSplit/>
        </w:trPr>
        <w:tc>
          <w:tcPr>
            <w:tcW w:type="dxa" w:w="2351"/>
            <w:vAlign w:val="center"/>
            <w:shd w:fill="D9EAF7"/>
          </w:tcPr>
          <w:p>
            <w:pPr>
              <w:jc w:val="center"/>
            </w:pPr>
            <w:r/>
            <w:r>
              <w:rPr>
                <w:rFonts w:ascii="Times New Roman" w:hAnsi="Times New Roman"/>
                <w:b/>
                <w:sz w:val="16"/>
              </w:rPr>
              <w:t>Classe</w:t>
            </w:r>
          </w:p>
        </w:tc>
        <w:tc>
          <w:tcPr>
            <w:tcW w:type="dxa" w:w="2351"/>
            <w:vAlign w:val="center"/>
            <w:shd w:fill="D9EAF7"/>
          </w:tcPr>
          <w:p>
            <w:pPr>
              <w:jc w:val="center"/>
            </w:pPr>
            <w:r/>
            <w:r>
              <w:rPr>
                <w:rFonts w:ascii="Times New Roman" w:hAnsi="Times New Roman"/>
                <w:b/>
                <w:sz w:val="16"/>
              </w:rPr>
              <w:t>Regra utilizada</w:t>
            </w:r>
          </w:p>
        </w:tc>
        <w:tc>
          <w:tcPr>
            <w:tcW w:type="dxa" w:w="2351"/>
            <w:vAlign w:val="center"/>
            <w:shd w:fill="D9EAF7"/>
          </w:tcPr>
          <w:p>
            <w:pPr>
              <w:jc w:val="center"/>
            </w:pPr>
            <w:r/>
            <w:r>
              <w:rPr>
                <w:rFonts w:ascii="Times New Roman" w:hAnsi="Times New Roman"/>
                <w:b/>
                <w:sz w:val="16"/>
              </w:rPr>
              <w:t>Quantidade de municípios</w:t>
            </w:r>
          </w:p>
        </w:tc>
        <w:tc>
          <w:tcPr>
            <w:tcW w:type="dxa" w:w="2351"/>
            <w:vAlign w:val="center"/>
            <w:shd w:fill="D9EAF7"/>
          </w:tcPr>
          <w:p>
            <w:pPr>
              <w:jc w:val="center"/>
            </w:pPr>
            <w:r/>
            <w:r>
              <w:rPr>
                <w:rFonts w:ascii="Times New Roman" w:hAnsi="Times New Roman"/>
                <w:b/>
                <w:sz w:val="16"/>
              </w:rPr>
              <w:t>Percentual</w:t>
            </w:r>
          </w:p>
        </w:tc>
      </w:tr>
      <w:tr>
        <w:trPr>
          <w:cantSplit/>
        </w:trPr>
        <w:tc>
          <w:tcPr>
            <w:tcW w:type="dxa" w:w="2351"/>
            <w:vAlign w:val="center"/>
          </w:tcPr>
          <w:p>
            <w:pPr>
              <w:jc w:val="left"/>
            </w:pPr>
            <w:r/>
            <w:r>
              <w:rPr>
                <w:rFonts w:ascii="Times New Roman" w:hAnsi="Times New Roman"/>
                <w:b w:val="0"/>
                <w:sz w:val="16"/>
              </w:rPr>
              <w:t>Baixo risco</w:t>
            </w:r>
          </w:p>
        </w:tc>
        <w:tc>
          <w:tcPr>
            <w:tcW w:type="dxa" w:w="2351"/>
            <w:vAlign w:val="center"/>
          </w:tcPr>
          <w:p>
            <w:pPr>
              <w:jc w:val="left"/>
            </w:pPr>
            <w:r/>
            <w:r>
              <w:rPr>
                <w:rFonts w:ascii="Times New Roman" w:hAnsi="Times New Roman"/>
                <w:b w:val="0"/>
                <w:sz w:val="16"/>
              </w:rPr>
              <w:t>TAXA_ABANDONO &lt;= 0,4%</w:t>
            </w:r>
          </w:p>
        </w:tc>
        <w:tc>
          <w:tcPr>
            <w:tcW w:type="dxa" w:w="2351"/>
            <w:vAlign w:val="center"/>
          </w:tcPr>
          <w:p>
            <w:pPr>
              <w:jc w:val="left"/>
            </w:pPr>
            <w:r/>
            <w:r>
              <w:rPr>
                <w:rFonts w:ascii="Times New Roman" w:hAnsi="Times New Roman"/>
                <w:b w:val="0"/>
                <w:sz w:val="16"/>
              </w:rPr>
              <w:t>225</w:t>
            </w:r>
          </w:p>
        </w:tc>
        <w:tc>
          <w:tcPr>
            <w:tcW w:type="dxa" w:w="2351"/>
            <w:vAlign w:val="center"/>
          </w:tcPr>
          <w:p>
            <w:pPr>
              <w:jc w:val="left"/>
            </w:pPr>
            <w:r/>
            <w:r>
              <w:rPr>
                <w:rFonts w:ascii="Times New Roman" w:hAnsi="Times New Roman"/>
                <w:b w:val="0"/>
                <w:sz w:val="16"/>
              </w:rPr>
              <w:t>26,38%</w:t>
            </w:r>
          </w:p>
        </w:tc>
      </w:tr>
      <w:tr>
        <w:trPr>
          <w:cantSplit/>
        </w:trPr>
        <w:tc>
          <w:tcPr>
            <w:tcW w:type="dxa" w:w="2351"/>
            <w:vAlign w:val="center"/>
          </w:tcPr>
          <w:p>
            <w:pPr>
              <w:jc w:val="left"/>
            </w:pPr>
            <w:r/>
            <w:r>
              <w:rPr>
                <w:rFonts w:ascii="Times New Roman" w:hAnsi="Times New Roman"/>
                <w:b w:val="0"/>
                <w:sz w:val="16"/>
              </w:rPr>
              <w:t>Médio risco</w:t>
            </w:r>
          </w:p>
        </w:tc>
        <w:tc>
          <w:tcPr>
            <w:tcW w:type="dxa" w:w="2351"/>
            <w:vAlign w:val="center"/>
          </w:tcPr>
          <w:p>
            <w:pPr>
              <w:jc w:val="left"/>
            </w:pPr>
            <w:r/>
            <w:r>
              <w:rPr>
                <w:rFonts w:ascii="Times New Roman" w:hAnsi="Times New Roman"/>
                <w:b w:val="0"/>
                <w:sz w:val="16"/>
              </w:rPr>
              <w:t>0,4% &lt; TAXA_ABANDONO &lt;= 2,1%</w:t>
            </w:r>
          </w:p>
        </w:tc>
        <w:tc>
          <w:tcPr>
            <w:tcW w:type="dxa" w:w="2351"/>
            <w:vAlign w:val="center"/>
          </w:tcPr>
          <w:p>
            <w:pPr>
              <w:jc w:val="left"/>
            </w:pPr>
            <w:r/>
            <w:r>
              <w:rPr>
                <w:rFonts w:ascii="Times New Roman" w:hAnsi="Times New Roman"/>
                <w:b w:val="0"/>
                <w:sz w:val="16"/>
              </w:rPr>
              <w:t>416</w:t>
            </w:r>
          </w:p>
        </w:tc>
        <w:tc>
          <w:tcPr>
            <w:tcW w:type="dxa" w:w="2351"/>
            <w:vAlign w:val="center"/>
          </w:tcPr>
          <w:p>
            <w:pPr>
              <w:jc w:val="left"/>
            </w:pPr>
            <w:r/>
            <w:r>
              <w:rPr>
                <w:rFonts w:ascii="Times New Roman" w:hAnsi="Times New Roman"/>
                <w:b w:val="0"/>
                <w:sz w:val="16"/>
              </w:rPr>
              <w:t>48,77%</w:t>
            </w:r>
          </w:p>
        </w:tc>
      </w:tr>
      <w:tr>
        <w:trPr>
          <w:cantSplit/>
        </w:trPr>
        <w:tc>
          <w:tcPr>
            <w:tcW w:type="dxa" w:w="2351"/>
            <w:vAlign w:val="center"/>
          </w:tcPr>
          <w:p>
            <w:pPr>
              <w:jc w:val="left"/>
            </w:pPr>
            <w:r/>
            <w:r>
              <w:rPr>
                <w:rFonts w:ascii="Times New Roman" w:hAnsi="Times New Roman"/>
                <w:b w:val="0"/>
                <w:sz w:val="16"/>
              </w:rPr>
              <w:t>Alto risco</w:t>
            </w:r>
          </w:p>
        </w:tc>
        <w:tc>
          <w:tcPr>
            <w:tcW w:type="dxa" w:w="2351"/>
            <w:vAlign w:val="center"/>
          </w:tcPr>
          <w:p>
            <w:pPr>
              <w:jc w:val="left"/>
            </w:pPr>
            <w:r/>
            <w:r>
              <w:rPr>
                <w:rFonts w:ascii="Times New Roman" w:hAnsi="Times New Roman"/>
                <w:b w:val="0"/>
                <w:sz w:val="16"/>
              </w:rPr>
              <w:t>TAXA_ABANDONO &gt; 2,1%</w:t>
            </w:r>
          </w:p>
        </w:tc>
        <w:tc>
          <w:tcPr>
            <w:tcW w:type="dxa" w:w="2351"/>
            <w:vAlign w:val="center"/>
          </w:tcPr>
          <w:p>
            <w:pPr>
              <w:jc w:val="left"/>
            </w:pPr>
            <w:r/>
            <w:r>
              <w:rPr>
                <w:rFonts w:ascii="Times New Roman" w:hAnsi="Times New Roman"/>
                <w:b w:val="0"/>
                <w:sz w:val="16"/>
              </w:rPr>
              <w:t>212</w:t>
            </w:r>
          </w:p>
        </w:tc>
        <w:tc>
          <w:tcPr>
            <w:tcW w:type="dxa" w:w="2351"/>
            <w:vAlign w:val="center"/>
          </w:tcPr>
          <w:p>
            <w:pPr>
              <w:jc w:val="left"/>
            </w:pPr>
            <w:r/>
            <w:r>
              <w:rPr>
                <w:rFonts w:ascii="Times New Roman" w:hAnsi="Times New Roman"/>
                <w:b w:val="0"/>
                <w:sz w:val="16"/>
              </w:rPr>
              <w:t>24,85%</w:t>
            </w:r>
          </w:p>
        </w:tc>
      </w:tr>
    </w:tbl>
    <w:p>
      <w:pPr>
        <w:spacing w:after="160"/>
        <w:jc w:val="center"/>
      </w:pPr>
      <w:r>
        <w:rPr>
          <w:rFonts w:ascii="Times New Roman" w:hAnsi="Times New Roman"/>
          <w:i/>
          <w:sz w:val="20"/>
        </w:rPr>
        <w:t>Tabela 6 - Regras e distribuição das classes de abandono.</w:t>
      </w:r>
    </w:p>
    <w:p>
      <w:pPr>
        <w:spacing w:after="120" w:line="276" w:lineRule="auto"/>
        <w:ind w:firstLine="709"/>
      </w:pPr>
      <w:r>
        <w:rPr>
          <w:rFonts w:ascii="Times New Roman" w:hAnsi="Times New Roman"/>
          <w:sz w:val="24"/>
        </w:rPr>
        <w:t>A análise do perfil das classes mostrou que a TDI média aumenta conforme cresce o risco de abandono: 10,08% no baixo risco, 11,27% no médio risco e 14,90% no alto risco. A média de alunos por turma também apresentou crescimento entre as classes, de 23,17 para 25,80 alunos.</w:t>
      </w:r>
    </w:p>
    <w:p>
      <w:r>
        <w:rPr>
          <w:rFonts w:ascii="Times New Roman" w:hAnsi="Times New Roman"/>
        </w:rPr>
        <w:drawing>
          <wp:inline xmlns:a="http://schemas.openxmlformats.org/drawingml/2006/main" xmlns:pic="http://schemas.openxmlformats.org/drawingml/2006/picture">
            <wp:extent cx="4846320" cy="3115491"/>
            <wp:docPr id="2" name="Picture 2"/>
            <wp:cNvGraphicFramePr>
              <a:graphicFrameLocks noChangeAspect="1"/>
            </wp:cNvGraphicFramePr>
            <a:graphic>
              <a:graphicData uri="http://schemas.openxmlformats.org/drawingml/2006/picture">
                <pic:pic>
                  <pic:nvPicPr>
                    <pic:cNvPr id="0" name="fig_tdi_classe.png"/>
                    <pic:cNvPicPr/>
                  </pic:nvPicPr>
                  <pic:blipFill>
                    <a:blip r:embed="rId10"/>
                    <a:stretch>
                      <a:fillRect/>
                    </a:stretch>
                  </pic:blipFill>
                  <pic:spPr>
                    <a:xfrm>
                      <a:off x="0" y="0"/>
                      <a:ext cx="4846320" cy="3115491"/>
                    </a:xfrm>
                    <a:prstGeom prst="rect"/>
                  </pic:spPr>
                </pic:pic>
              </a:graphicData>
            </a:graphic>
          </wp:inline>
        </w:drawing>
      </w:r>
    </w:p>
    <w:p>
      <w:pPr>
        <w:spacing w:after="160"/>
        <w:jc w:val="center"/>
      </w:pPr>
      <w:r>
        <w:rPr>
          <w:rFonts w:ascii="Times New Roman" w:hAnsi="Times New Roman"/>
          <w:i/>
          <w:sz w:val="20"/>
        </w:rPr>
        <w:t>Figura 2 - Média da TDI por classe de abandono.</w:t>
      </w:r>
    </w:p>
    <w:p>
      <w:r>
        <w:rPr>
          <w:rFonts w:ascii="Times New Roman" w:hAnsi="Times New Roman"/>
        </w:rPr>
        <w:drawing>
          <wp:inline xmlns:a="http://schemas.openxmlformats.org/drawingml/2006/main" xmlns:pic="http://schemas.openxmlformats.org/drawingml/2006/picture">
            <wp:extent cx="4846320" cy="3115491"/>
            <wp:docPr id="3" name="Picture 3"/>
            <wp:cNvGraphicFramePr>
              <a:graphicFrameLocks noChangeAspect="1"/>
            </wp:cNvGraphicFramePr>
            <a:graphic>
              <a:graphicData uri="http://schemas.openxmlformats.org/drawingml/2006/picture">
                <pic:pic>
                  <pic:nvPicPr>
                    <pic:cNvPr id="0" name="fig_mat_classe.png"/>
                    <pic:cNvPicPr/>
                  </pic:nvPicPr>
                  <pic:blipFill>
                    <a:blip r:embed="rId11"/>
                    <a:stretch>
                      <a:fillRect/>
                    </a:stretch>
                  </pic:blipFill>
                  <pic:spPr>
                    <a:xfrm>
                      <a:off x="0" y="0"/>
                      <a:ext cx="4846320" cy="3115491"/>
                    </a:xfrm>
                    <a:prstGeom prst="rect"/>
                  </pic:spPr>
                </pic:pic>
              </a:graphicData>
            </a:graphic>
          </wp:inline>
        </w:drawing>
      </w:r>
    </w:p>
    <w:p>
      <w:pPr>
        <w:spacing w:after="160"/>
        <w:jc w:val="center"/>
      </w:pPr>
      <w:r>
        <w:rPr>
          <w:rFonts w:ascii="Times New Roman" w:hAnsi="Times New Roman"/>
          <w:i/>
          <w:sz w:val="20"/>
        </w:rPr>
        <w:t>Figura 3 - Média de alunos por turma por classe de abandono.</w:t>
      </w:r>
    </w:p>
    <w:p>
      <w:pPr>
        <w:spacing w:after="120" w:line="276" w:lineRule="auto"/>
        <w:ind w:firstLine="709"/>
      </w:pPr>
      <w:r>
        <w:rPr>
          <w:rFonts w:ascii="Times New Roman" w:hAnsi="Times New Roman"/>
          <w:sz w:val="24"/>
        </w:rPr>
        <w:t>Frutal foi classificado como médio risco, pois sua taxa de abandono foi de 1,5%. Em comparação com os municípios de médio risco, Frutal apresentou TDI maior, média de alunos por turma maior e perfil de regularidade docente mais favorável, com 87,0% das escolas na faixa de média-alta regularidade.</w:t>
      </w:r>
    </w:p>
    <w:p>
      <w:pPr>
        <w:pStyle w:val="Heading1"/>
      </w:pPr>
      <w:r>
        <w:rPr>
          <w:rFonts w:ascii="Times New Roman" w:hAnsi="Times New Roman"/>
        </w:rPr>
        <w:t>7 Modelagem preditiva</w:t>
      </w:r>
    </w:p>
    <w:p>
      <w:pPr>
        <w:spacing w:after="120" w:line="276" w:lineRule="auto"/>
        <w:ind w:firstLine="709"/>
      </w:pPr>
      <w:r>
        <w:rPr>
          <w:rFonts w:ascii="Times New Roman" w:hAnsi="Times New Roman"/>
          <w:sz w:val="24"/>
        </w:rPr>
        <w:t>A etapa de modelagem teve como objetivo prever a variável CLASSE_ABANDONO a partir dos indicadores educacionais selecionados. As variáveis explicativas foram: QTD_ALUNOS_INSE, MEDIA_INSE, TDI_ANOS_FINAIS, MEDIA_ALUNOS_TURMA_ANOS_FINAIS e as quatro faixas de regularidade docente.</w:t>
      </w:r>
    </w:p>
    <w:p>
      <w:pPr>
        <w:spacing w:after="120" w:line="276" w:lineRule="auto"/>
        <w:ind w:firstLine="709"/>
      </w:pPr>
      <w:r>
        <w:rPr>
          <w:rFonts w:ascii="Times New Roman" w:hAnsi="Times New Roman"/>
          <w:sz w:val="24"/>
        </w:rPr>
        <w:t>A variável TAXA_ABANDONO_ANOS_FINAIS não foi utilizada como explicativa, pois a classe de abandono foi criada a partir dela. Utilizar essa variável no treinamento causaria vazamento de informação, isto é, o modelo teria acesso direto à informação que deveria prever.</w:t>
      </w:r>
    </w:p>
    <w:p>
      <w:pPr>
        <w:spacing w:after="120" w:line="276" w:lineRule="auto"/>
        <w:ind w:firstLine="709"/>
      </w:pPr>
      <w:r>
        <w:rPr>
          <w:rFonts w:ascii="Times New Roman" w:hAnsi="Times New Roman"/>
          <w:sz w:val="24"/>
        </w:rPr>
        <w:t>Os dados foram divididos em 70% para treinamento e 30% para teste, com estratificação pela variável-alvo. A estratificação foi utilizada para preservar proporções semelhantes das classes no treino e no teste. O conjunto de treino ficou com 597 municípios e o conjunto de teste com 256 municípios.</w:t>
      </w:r>
    </w:p>
    <w:p>
      <w:pPr>
        <w:spacing w:after="120" w:line="276" w:lineRule="auto"/>
        <w:ind w:firstLine="709"/>
      </w:pPr>
      <w:r>
        <w:rPr>
          <w:rFonts w:ascii="Times New Roman" w:hAnsi="Times New Roman"/>
          <w:sz w:val="24"/>
        </w:rPr>
        <w:t>Foram avaliados três algoritmos principais, conforme solicitado para comparação: Regressão Logística, Árvore de Decisão e Random Forest. Posteriormente, também foram testadas versões balanceadas dos modelos, utilizando o parâmetro class_weight="balanced", devido à maior proporção de municípios de médio risco.</w:t>
      </w:r>
    </w:p>
    <w:tbl>
      <w:tblPr>
        <w:tblStyle w:val="TableGrid"/>
        <w:tblW w:type="auto" w:w="0"/>
        <w:jc w:val="center"/>
        <w:tblLook w:firstColumn="1" w:firstRow="1" w:lastColumn="0" w:lastRow="0" w:noHBand="0" w:noVBand="1" w:val="04A0"/>
      </w:tblPr>
      <w:tblGrid>
        <w:gridCol w:w="4702"/>
        <w:gridCol w:w="4702"/>
      </w:tblGrid>
      <w:tr>
        <w:trPr>
          <w:cantSplit/>
        </w:trPr>
        <w:tc>
          <w:tcPr>
            <w:tcW w:type="dxa" w:w="4702"/>
            <w:vAlign w:val="center"/>
            <w:shd w:fill="D9EAF7"/>
          </w:tcPr>
          <w:p>
            <w:pPr>
              <w:jc w:val="center"/>
            </w:pPr>
            <w:r/>
            <w:r>
              <w:rPr>
                <w:rFonts w:ascii="Times New Roman" w:hAnsi="Times New Roman"/>
                <w:b/>
                <w:sz w:val="16"/>
              </w:rPr>
              <w:t>Modelo</w:t>
            </w:r>
          </w:p>
        </w:tc>
        <w:tc>
          <w:tcPr>
            <w:tcW w:type="dxa" w:w="4702"/>
            <w:vAlign w:val="center"/>
            <w:shd w:fill="D9EAF7"/>
          </w:tcPr>
          <w:p>
            <w:pPr>
              <w:jc w:val="center"/>
            </w:pPr>
            <w:r/>
            <w:r>
              <w:rPr>
                <w:rFonts w:ascii="Times New Roman" w:hAnsi="Times New Roman"/>
                <w:b/>
                <w:sz w:val="16"/>
              </w:rPr>
              <w:t>Justificativa de uso</w:t>
            </w:r>
          </w:p>
        </w:tc>
      </w:tr>
      <w:tr>
        <w:trPr>
          <w:cantSplit/>
        </w:trPr>
        <w:tc>
          <w:tcPr>
            <w:tcW w:type="dxa" w:w="4702"/>
            <w:vAlign w:val="center"/>
          </w:tcPr>
          <w:p>
            <w:pPr>
              <w:jc w:val="left"/>
            </w:pPr>
            <w:r/>
            <w:r>
              <w:rPr>
                <w:rFonts w:ascii="Times New Roman" w:hAnsi="Times New Roman"/>
                <w:b w:val="0"/>
                <w:sz w:val="16"/>
              </w:rPr>
              <w:t>Regressão Logística</w:t>
            </w:r>
          </w:p>
        </w:tc>
        <w:tc>
          <w:tcPr>
            <w:tcW w:type="dxa" w:w="4702"/>
            <w:vAlign w:val="center"/>
          </w:tcPr>
          <w:p>
            <w:pPr>
              <w:jc w:val="left"/>
            </w:pPr>
            <w:r/>
            <w:r>
              <w:rPr>
                <w:rFonts w:ascii="Times New Roman" w:hAnsi="Times New Roman"/>
                <w:b w:val="0"/>
                <w:sz w:val="16"/>
              </w:rPr>
              <w:t>Modelo de referência, simples e interpretável.</w:t>
            </w:r>
          </w:p>
        </w:tc>
      </w:tr>
      <w:tr>
        <w:trPr>
          <w:cantSplit/>
        </w:trPr>
        <w:tc>
          <w:tcPr>
            <w:tcW w:type="dxa" w:w="4702"/>
            <w:vAlign w:val="center"/>
          </w:tcPr>
          <w:p>
            <w:pPr>
              <w:jc w:val="left"/>
            </w:pPr>
            <w:r/>
            <w:r>
              <w:rPr>
                <w:rFonts w:ascii="Times New Roman" w:hAnsi="Times New Roman"/>
                <w:b w:val="0"/>
                <w:sz w:val="16"/>
              </w:rPr>
              <w:t>Árvore de Decisão</w:t>
            </w:r>
          </w:p>
        </w:tc>
        <w:tc>
          <w:tcPr>
            <w:tcW w:type="dxa" w:w="4702"/>
            <w:vAlign w:val="center"/>
          </w:tcPr>
          <w:p>
            <w:pPr>
              <w:jc w:val="left"/>
            </w:pPr>
            <w:r/>
            <w:r>
              <w:rPr>
                <w:rFonts w:ascii="Times New Roman" w:hAnsi="Times New Roman"/>
                <w:b w:val="0"/>
                <w:sz w:val="16"/>
              </w:rPr>
              <w:t>Modelo baseado em regras, de fácil interpretação.</w:t>
            </w:r>
          </w:p>
        </w:tc>
      </w:tr>
      <w:tr>
        <w:trPr>
          <w:cantSplit/>
        </w:trPr>
        <w:tc>
          <w:tcPr>
            <w:tcW w:type="dxa" w:w="4702"/>
            <w:vAlign w:val="center"/>
          </w:tcPr>
          <w:p>
            <w:pPr>
              <w:jc w:val="left"/>
            </w:pPr>
            <w:r/>
            <w:r>
              <w:rPr>
                <w:rFonts w:ascii="Times New Roman" w:hAnsi="Times New Roman"/>
                <w:b w:val="0"/>
                <w:sz w:val="16"/>
              </w:rPr>
              <w:t>Random Forest</w:t>
            </w:r>
          </w:p>
        </w:tc>
        <w:tc>
          <w:tcPr>
            <w:tcW w:type="dxa" w:w="4702"/>
            <w:vAlign w:val="center"/>
          </w:tcPr>
          <w:p>
            <w:pPr>
              <w:jc w:val="left"/>
            </w:pPr>
            <w:r/>
            <w:r>
              <w:rPr>
                <w:rFonts w:ascii="Times New Roman" w:hAnsi="Times New Roman"/>
                <w:b w:val="0"/>
                <w:sz w:val="16"/>
              </w:rPr>
              <w:t>Combina várias árvores, tende a reduzir instabilidade e melhorar generalização.</w:t>
            </w:r>
          </w:p>
        </w:tc>
      </w:tr>
      <w:tr>
        <w:trPr>
          <w:cantSplit/>
        </w:trPr>
        <w:tc>
          <w:tcPr>
            <w:tcW w:type="dxa" w:w="4702"/>
            <w:vAlign w:val="center"/>
          </w:tcPr>
          <w:p>
            <w:pPr>
              <w:jc w:val="left"/>
            </w:pPr>
            <w:r/>
            <w:r>
              <w:rPr>
                <w:rFonts w:ascii="Times New Roman" w:hAnsi="Times New Roman"/>
                <w:b w:val="0"/>
                <w:sz w:val="16"/>
              </w:rPr>
              <w:t>Versões balanceadas</w:t>
            </w:r>
          </w:p>
        </w:tc>
        <w:tc>
          <w:tcPr>
            <w:tcW w:type="dxa" w:w="4702"/>
            <w:vAlign w:val="center"/>
          </w:tcPr>
          <w:p>
            <w:pPr>
              <w:jc w:val="left"/>
            </w:pPr>
            <w:r/>
            <w:r>
              <w:rPr>
                <w:rFonts w:ascii="Times New Roman" w:hAnsi="Times New Roman"/>
                <w:b w:val="0"/>
                <w:sz w:val="16"/>
              </w:rPr>
              <w:t>Buscam reduzir a tendência de concentrar previsões na classe majoritária.</w:t>
            </w:r>
          </w:p>
        </w:tc>
      </w:tr>
    </w:tbl>
    <w:p>
      <w:pPr>
        <w:spacing w:after="160"/>
        <w:jc w:val="center"/>
      </w:pPr>
      <w:r>
        <w:rPr>
          <w:rFonts w:ascii="Times New Roman" w:hAnsi="Times New Roman"/>
          <w:i/>
          <w:sz w:val="20"/>
        </w:rPr>
        <w:t>Tabela 7 - Modelos avaliados e justificativa de uso.</w:t>
      </w:r>
    </w:p>
    <w:p>
      <w:pPr>
        <w:pStyle w:val="Heading1"/>
      </w:pPr>
      <w:r>
        <w:rPr>
          <w:rFonts w:ascii="Times New Roman" w:hAnsi="Times New Roman"/>
        </w:rPr>
        <w:t>8 Avaliação dos modelos</w:t>
      </w:r>
    </w:p>
    <w:p>
      <w:pPr>
        <w:spacing w:after="120" w:line="276" w:lineRule="auto"/>
        <w:ind w:firstLine="709"/>
      </w:pPr>
      <w:r>
        <w:rPr>
          <w:rFonts w:ascii="Times New Roman" w:hAnsi="Times New Roman"/>
          <w:sz w:val="24"/>
        </w:rPr>
        <w:t>A avaliação foi realizada com as métricas acurácia, precisão macro, recall macro e F1-score macro. Como se trata de um problema multiclasse com distribuição não perfeitamente balanceada, o F1-score macro foi priorizado na comparação, pois considera igualmente as três classes.</w:t>
      </w:r>
    </w:p>
    <w:p>
      <w:pPr>
        <w:spacing w:after="120" w:line="276" w:lineRule="auto"/>
        <w:ind w:firstLine="709"/>
      </w:pPr>
      <w:r>
        <w:rPr>
          <w:rFonts w:ascii="Times New Roman" w:hAnsi="Times New Roman"/>
          <w:sz w:val="24"/>
        </w:rPr>
        <w:t>Também foi criado um modelo base, com a estratégia de prever sempre a classe mais frequente. Esse modelo obteve acurácia de 48,83% e F1-score macro de 0,219, demonstrando que a acurácia isolada poderia ser enganosa, pois o modelo base não identifica municípios de baixo ou alto risco.</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cantSplit/>
        </w:trPr>
        <w:tc>
          <w:tcPr>
            <w:tcW w:type="dxa" w:w="1881"/>
            <w:vAlign w:val="center"/>
            <w:shd w:fill="D9EAF7"/>
          </w:tcPr>
          <w:p>
            <w:pPr>
              <w:jc w:val="center"/>
            </w:pPr>
            <w:r/>
            <w:r>
              <w:rPr>
                <w:rFonts w:ascii="Times New Roman" w:hAnsi="Times New Roman"/>
                <w:b/>
                <w:sz w:val="16"/>
              </w:rPr>
              <w:t>Modelo</w:t>
            </w:r>
          </w:p>
        </w:tc>
        <w:tc>
          <w:tcPr>
            <w:tcW w:type="dxa" w:w="1881"/>
            <w:vAlign w:val="center"/>
            <w:shd w:fill="D9EAF7"/>
          </w:tcPr>
          <w:p>
            <w:pPr>
              <w:jc w:val="center"/>
            </w:pPr>
            <w:r/>
            <w:r>
              <w:rPr>
                <w:rFonts w:ascii="Times New Roman" w:hAnsi="Times New Roman"/>
                <w:b/>
                <w:sz w:val="16"/>
              </w:rPr>
              <w:t>Acurácia</w:t>
            </w:r>
          </w:p>
        </w:tc>
        <w:tc>
          <w:tcPr>
            <w:tcW w:type="dxa" w:w="1881"/>
            <w:vAlign w:val="center"/>
            <w:shd w:fill="D9EAF7"/>
          </w:tcPr>
          <w:p>
            <w:pPr>
              <w:jc w:val="center"/>
            </w:pPr>
            <w:r/>
            <w:r>
              <w:rPr>
                <w:rFonts w:ascii="Times New Roman" w:hAnsi="Times New Roman"/>
                <w:b/>
                <w:sz w:val="16"/>
              </w:rPr>
              <w:t>Precisão macro</w:t>
            </w:r>
          </w:p>
        </w:tc>
        <w:tc>
          <w:tcPr>
            <w:tcW w:type="dxa" w:w="1881"/>
            <w:vAlign w:val="center"/>
            <w:shd w:fill="D9EAF7"/>
          </w:tcPr>
          <w:p>
            <w:pPr>
              <w:jc w:val="center"/>
            </w:pPr>
            <w:r/>
            <w:r>
              <w:rPr>
                <w:rFonts w:ascii="Times New Roman" w:hAnsi="Times New Roman"/>
                <w:b/>
                <w:sz w:val="16"/>
              </w:rPr>
              <w:t>Recall macro</w:t>
            </w:r>
          </w:p>
        </w:tc>
        <w:tc>
          <w:tcPr>
            <w:tcW w:type="dxa" w:w="1881"/>
            <w:vAlign w:val="center"/>
            <w:shd w:fill="D9EAF7"/>
          </w:tcPr>
          <w:p>
            <w:pPr>
              <w:jc w:val="center"/>
            </w:pPr>
            <w:r/>
            <w:r>
              <w:rPr>
                <w:rFonts w:ascii="Times New Roman" w:hAnsi="Times New Roman"/>
                <w:b/>
                <w:sz w:val="16"/>
              </w:rPr>
              <w:t>F1-score macro</w:t>
            </w:r>
          </w:p>
        </w:tc>
      </w:tr>
      <w:tr>
        <w:trPr>
          <w:cantSplit/>
        </w:trPr>
        <w:tc>
          <w:tcPr>
            <w:tcW w:type="dxa" w:w="1881"/>
            <w:vAlign w:val="center"/>
          </w:tcPr>
          <w:p>
            <w:pPr>
              <w:jc w:val="left"/>
            </w:pPr>
            <w:r/>
            <w:r>
              <w:rPr>
                <w:rFonts w:ascii="Times New Roman" w:hAnsi="Times New Roman"/>
                <w:b w:val="0"/>
                <w:sz w:val="16"/>
              </w:rPr>
              <w:t>Modelo base</w:t>
            </w:r>
          </w:p>
        </w:tc>
        <w:tc>
          <w:tcPr>
            <w:tcW w:type="dxa" w:w="1881"/>
            <w:vAlign w:val="center"/>
          </w:tcPr>
          <w:p>
            <w:pPr>
              <w:jc w:val="left"/>
            </w:pPr>
            <w:r/>
            <w:r>
              <w:rPr>
                <w:rFonts w:ascii="Times New Roman" w:hAnsi="Times New Roman"/>
                <w:b w:val="0"/>
                <w:sz w:val="16"/>
              </w:rPr>
              <w:t>0,488</w:t>
            </w:r>
          </w:p>
        </w:tc>
        <w:tc>
          <w:tcPr>
            <w:tcW w:type="dxa" w:w="1881"/>
            <w:vAlign w:val="center"/>
          </w:tcPr>
          <w:p>
            <w:pPr>
              <w:jc w:val="left"/>
            </w:pPr>
            <w:r/>
            <w:r>
              <w:rPr>
                <w:rFonts w:ascii="Times New Roman" w:hAnsi="Times New Roman"/>
                <w:b w:val="0"/>
                <w:sz w:val="16"/>
              </w:rPr>
              <w:t>-</w:t>
            </w:r>
          </w:p>
        </w:tc>
        <w:tc>
          <w:tcPr>
            <w:tcW w:type="dxa" w:w="1881"/>
            <w:vAlign w:val="center"/>
          </w:tcPr>
          <w:p>
            <w:pPr>
              <w:jc w:val="left"/>
            </w:pPr>
            <w:r/>
            <w:r>
              <w:rPr>
                <w:rFonts w:ascii="Times New Roman" w:hAnsi="Times New Roman"/>
                <w:b w:val="0"/>
                <w:sz w:val="16"/>
              </w:rPr>
              <w:t>-</w:t>
            </w:r>
          </w:p>
        </w:tc>
        <w:tc>
          <w:tcPr>
            <w:tcW w:type="dxa" w:w="1881"/>
            <w:vAlign w:val="center"/>
          </w:tcPr>
          <w:p>
            <w:pPr>
              <w:jc w:val="left"/>
            </w:pPr>
            <w:r/>
            <w:r>
              <w:rPr>
                <w:rFonts w:ascii="Times New Roman" w:hAnsi="Times New Roman"/>
                <w:b w:val="0"/>
                <w:sz w:val="16"/>
              </w:rPr>
              <w:t>0,219</w:t>
            </w:r>
          </w:p>
        </w:tc>
      </w:tr>
      <w:tr>
        <w:trPr>
          <w:cantSplit/>
        </w:trPr>
        <w:tc>
          <w:tcPr>
            <w:tcW w:type="dxa" w:w="1881"/>
            <w:vAlign w:val="center"/>
          </w:tcPr>
          <w:p>
            <w:pPr>
              <w:jc w:val="left"/>
            </w:pPr>
            <w:r/>
            <w:r>
              <w:rPr>
                <w:rFonts w:ascii="Times New Roman" w:hAnsi="Times New Roman"/>
                <w:b w:val="0"/>
                <w:sz w:val="16"/>
              </w:rPr>
              <w:t>Regressão Logística</w:t>
            </w:r>
          </w:p>
        </w:tc>
        <w:tc>
          <w:tcPr>
            <w:tcW w:type="dxa" w:w="1881"/>
            <w:vAlign w:val="center"/>
          </w:tcPr>
          <w:p>
            <w:pPr>
              <w:jc w:val="left"/>
            </w:pPr>
            <w:r/>
            <w:r>
              <w:rPr>
                <w:rFonts w:ascii="Times New Roman" w:hAnsi="Times New Roman"/>
                <w:b w:val="0"/>
                <w:sz w:val="16"/>
              </w:rPr>
              <w:t>0,535</w:t>
            </w:r>
          </w:p>
        </w:tc>
        <w:tc>
          <w:tcPr>
            <w:tcW w:type="dxa" w:w="1881"/>
            <w:vAlign w:val="center"/>
          </w:tcPr>
          <w:p>
            <w:pPr>
              <w:jc w:val="left"/>
            </w:pPr>
            <w:r/>
            <w:r>
              <w:rPr>
                <w:rFonts w:ascii="Times New Roman" w:hAnsi="Times New Roman"/>
                <w:b w:val="0"/>
                <w:sz w:val="16"/>
              </w:rPr>
              <w:t>0,529</w:t>
            </w:r>
          </w:p>
        </w:tc>
        <w:tc>
          <w:tcPr>
            <w:tcW w:type="dxa" w:w="1881"/>
            <w:vAlign w:val="center"/>
          </w:tcPr>
          <w:p>
            <w:pPr>
              <w:jc w:val="left"/>
            </w:pPr>
            <w:r/>
            <w:r>
              <w:rPr>
                <w:rFonts w:ascii="Times New Roman" w:hAnsi="Times New Roman"/>
                <w:b w:val="0"/>
                <w:sz w:val="16"/>
              </w:rPr>
              <w:t>0,456</w:t>
            </w:r>
          </w:p>
        </w:tc>
        <w:tc>
          <w:tcPr>
            <w:tcW w:type="dxa" w:w="1881"/>
            <w:vAlign w:val="center"/>
          </w:tcPr>
          <w:p>
            <w:pPr>
              <w:jc w:val="left"/>
            </w:pPr>
            <w:r/>
            <w:r>
              <w:rPr>
                <w:rFonts w:ascii="Times New Roman" w:hAnsi="Times New Roman"/>
                <w:b w:val="0"/>
                <w:sz w:val="16"/>
              </w:rPr>
              <w:t>0,460</w:t>
            </w:r>
          </w:p>
        </w:tc>
      </w:tr>
      <w:tr>
        <w:trPr>
          <w:cantSplit/>
        </w:trPr>
        <w:tc>
          <w:tcPr>
            <w:tcW w:type="dxa" w:w="1881"/>
            <w:vAlign w:val="center"/>
          </w:tcPr>
          <w:p>
            <w:pPr>
              <w:jc w:val="left"/>
            </w:pPr>
            <w:r/>
            <w:r>
              <w:rPr>
                <w:rFonts w:ascii="Times New Roman" w:hAnsi="Times New Roman"/>
                <w:b w:val="0"/>
                <w:sz w:val="16"/>
              </w:rPr>
              <w:t>Árvore de Decisão</w:t>
            </w:r>
          </w:p>
        </w:tc>
        <w:tc>
          <w:tcPr>
            <w:tcW w:type="dxa" w:w="1881"/>
            <w:vAlign w:val="center"/>
          </w:tcPr>
          <w:p>
            <w:pPr>
              <w:jc w:val="left"/>
            </w:pPr>
            <w:r/>
            <w:r>
              <w:rPr>
                <w:rFonts w:ascii="Times New Roman" w:hAnsi="Times New Roman"/>
                <w:b w:val="0"/>
                <w:sz w:val="16"/>
              </w:rPr>
              <w:t>0,500</w:t>
            </w:r>
          </w:p>
        </w:tc>
        <w:tc>
          <w:tcPr>
            <w:tcW w:type="dxa" w:w="1881"/>
            <w:vAlign w:val="center"/>
          </w:tcPr>
          <w:p>
            <w:pPr>
              <w:jc w:val="left"/>
            </w:pPr>
            <w:r/>
            <w:r>
              <w:rPr>
                <w:rFonts w:ascii="Times New Roman" w:hAnsi="Times New Roman"/>
                <w:b w:val="0"/>
                <w:sz w:val="16"/>
              </w:rPr>
              <w:t>0,468</w:t>
            </w:r>
          </w:p>
        </w:tc>
        <w:tc>
          <w:tcPr>
            <w:tcW w:type="dxa" w:w="1881"/>
            <w:vAlign w:val="center"/>
          </w:tcPr>
          <w:p>
            <w:pPr>
              <w:jc w:val="left"/>
            </w:pPr>
            <w:r/>
            <w:r>
              <w:rPr>
                <w:rFonts w:ascii="Times New Roman" w:hAnsi="Times New Roman"/>
                <w:b w:val="0"/>
                <w:sz w:val="16"/>
              </w:rPr>
              <w:t>0,416</w:t>
            </w:r>
          </w:p>
        </w:tc>
        <w:tc>
          <w:tcPr>
            <w:tcW w:type="dxa" w:w="1881"/>
            <w:vAlign w:val="center"/>
          </w:tcPr>
          <w:p>
            <w:pPr>
              <w:jc w:val="left"/>
            </w:pPr>
            <w:r/>
            <w:r>
              <w:rPr>
                <w:rFonts w:ascii="Times New Roman" w:hAnsi="Times New Roman"/>
                <w:b w:val="0"/>
                <w:sz w:val="16"/>
              </w:rPr>
              <w:t>0,413</w:t>
            </w:r>
          </w:p>
        </w:tc>
      </w:tr>
      <w:tr>
        <w:trPr>
          <w:cantSplit/>
        </w:trPr>
        <w:tc>
          <w:tcPr>
            <w:tcW w:type="dxa" w:w="1881"/>
            <w:vAlign w:val="center"/>
          </w:tcPr>
          <w:p>
            <w:pPr>
              <w:jc w:val="left"/>
            </w:pPr>
            <w:r/>
            <w:r>
              <w:rPr>
                <w:rFonts w:ascii="Times New Roman" w:hAnsi="Times New Roman"/>
                <w:b w:val="0"/>
                <w:sz w:val="16"/>
              </w:rPr>
              <w:t>Random Forest</w:t>
            </w:r>
          </w:p>
        </w:tc>
        <w:tc>
          <w:tcPr>
            <w:tcW w:type="dxa" w:w="1881"/>
            <w:vAlign w:val="center"/>
          </w:tcPr>
          <w:p>
            <w:pPr>
              <w:jc w:val="left"/>
            </w:pPr>
            <w:r/>
            <w:r>
              <w:rPr>
                <w:rFonts w:ascii="Times New Roman" w:hAnsi="Times New Roman"/>
                <w:b w:val="0"/>
                <w:sz w:val="16"/>
              </w:rPr>
              <w:t>0,523</w:t>
            </w:r>
          </w:p>
        </w:tc>
        <w:tc>
          <w:tcPr>
            <w:tcW w:type="dxa" w:w="1881"/>
            <w:vAlign w:val="center"/>
          </w:tcPr>
          <w:p>
            <w:pPr>
              <w:jc w:val="left"/>
            </w:pPr>
            <w:r/>
            <w:r>
              <w:rPr>
                <w:rFonts w:ascii="Times New Roman" w:hAnsi="Times New Roman"/>
                <w:b w:val="0"/>
                <w:sz w:val="16"/>
              </w:rPr>
              <w:t>0,512</w:t>
            </w:r>
          </w:p>
        </w:tc>
        <w:tc>
          <w:tcPr>
            <w:tcW w:type="dxa" w:w="1881"/>
            <w:vAlign w:val="center"/>
          </w:tcPr>
          <w:p>
            <w:pPr>
              <w:jc w:val="left"/>
            </w:pPr>
            <w:r/>
            <w:r>
              <w:rPr>
                <w:rFonts w:ascii="Times New Roman" w:hAnsi="Times New Roman"/>
                <w:b w:val="0"/>
                <w:sz w:val="16"/>
              </w:rPr>
              <w:t>0,422</w:t>
            </w:r>
          </w:p>
        </w:tc>
        <w:tc>
          <w:tcPr>
            <w:tcW w:type="dxa" w:w="1881"/>
            <w:vAlign w:val="center"/>
          </w:tcPr>
          <w:p>
            <w:pPr>
              <w:jc w:val="left"/>
            </w:pPr>
            <w:r/>
            <w:r>
              <w:rPr>
                <w:rFonts w:ascii="Times New Roman" w:hAnsi="Times New Roman"/>
                <w:b w:val="0"/>
                <w:sz w:val="16"/>
              </w:rPr>
              <w:t>0,408</w:t>
            </w:r>
          </w:p>
        </w:tc>
      </w:tr>
      <w:tr>
        <w:trPr>
          <w:cantSplit/>
        </w:trPr>
        <w:tc>
          <w:tcPr>
            <w:tcW w:type="dxa" w:w="1881"/>
            <w:vAlign w:val="center"/>
          </w:tcPr>
          <w:p>
            <w:pPr>
              <w:jc w:val="left"/>
            </w:pPr>
            <w:r/>
            <w:r>
              <w:rPr>
                <w:rFonts w:ascii="Times New Roman" w:hAnsi="Times New Roman"/>
                <w:b w:val="0"/>
                <w:sz w:val="16"/>
              </w:rPr>
              <w:t>Reg. Logística Balanceada</w:t>
            </w:r>
          </w:p>
        </w:tc>
        <w:tc>
          <w:tcPr>
            <w:tcW w:type="dxa" w:w="1881"/>
            <w:vAlign w:val="center"/>
          </w:tcPr>
          <w:p>
            <w:pPr>
              <w:jc w:val="left"/>
            </w:pPr>
            <w:r/>
            <w:r>
              <w:rPr>
                <w:rFonts w:ascii="Times New Roman" w:hAnsi="Times New Roman"/>
                <w:b w:val="0"/>
                <w:sz w:val="16"/>
              </w:rPr>
              <w:t>0,469</w:t>
            </w:r>
          </w:p>
        </w:tc>
        <w:tc>
          <w:tcPr>
            <w:tcW w:type="dxa" w:w="1881"/>
            <w:vAlign w:val="center"/>
          </w:tcPr>
          <w:p>
            <w:pPr>
              <w:jc w:val="left"/>
            </w:pPr>
            <w:r/>
            <w:r>
              <w:rPr>
                <w:rFonts w:ascii="Times New Roman" w:hAnsi="Times New Roman"/>
                <w:b w:val="0"/>
                <w:sz w:val="16"/>
              </w:rPr>
              <w:t>0,501</w:t>
            </w:r>
          </w:p>
        </w:tc>
        <w:tc>
          <w:tcPr>
            <w:tcW w:type="dxa" w:w="1881"/>
            <w:vAlign w:val="center"/>
          </w:tcPr>
          <w:p>
            <w:pPr>
              <w:jc w:val="left"/>
            </w:pPr>
            <w:r/>
            <w:r>
              <w:rPr>
                <w:rFonts w:ascii="Times New Roman" w:hAnsi="Times New Roman"/>
                <w:b w:val="0"/>
                <w:sz w:val="16"/>
              </w:rPr>
              <w:t>0,525</w:t>
            </w:r>
          </w:p>
        </w:tc>
        <w:tc>
          <w:tcPr>
            <w:tcW w:type="dxa" w:w="1881"/>
            <w:vAlign w:val="center"/>
          </w:tcPr>
          <w:p>
            <w:pPr>
              <w:jc w:val="left"/>
            </w:pPr>
            <w:r/>
            <w:r>
              <w:rPr>
                <w:rFonts w:ascii="Times New Roman" w:hAnsi="Times New Roman"/>
                <w:b w:val="0"/>
                <w:sz w:val="16"/>
              </w:rPr>
              <w:t>0,470</w:t>
            </w:r>
          </w:p>
        </w:tc>
      </w:tr>
      <w:tr>
        <w:trPr>
          <w:cantSplit/>
        </w:trPr>
        <w:tc>
          <w:tcPr>
            <w:tcW w:type="dxa" w:w="1881"/>
            <w:vAlign w:val="center"/>
          </w:tcPr>
          <w:p>
            <w:pPr>
              <w:jc w:val="left"/>
            </w:pPr>
            <w:r/>
            <w:r>
              <w:rPr>
                <w:rFonts w:ascii="Times New Roman" w:hAnsi="Times New Roman"/>
                <w:b w:val="0"/>
                <w:sz w:val="16"/>
              </w:rPr>
              <w:t>Árvore Balanceada</w:t>
            </w:r>
          </w:p>
        </w:tc>
        <w:tc>
          <w:tcPr>
            <w:tcW w:type="dxa" w:w="1881"/>
            <w:vAlign w:val="center"/>
          </w:tcPr>
          <w:p>
            <w:pPr>
              <w:jc w:val="left"/>
            </w:pPr>
            <w:r/>
            <w:r>
              <w:rPr>
                <w:rFonts w:ascii="Times New Roman" w:hAnsi="Times New Roman"/>
                <w:b w:val="0"/>
                <w:sz w:val="16"/>
              </w:rPr>
              <w:t>0,434</w:t>
            </w:r>
          </w:p>
        </w:tc>
        <w:tc>
          <w:tcPr>
            <w:tcW w:type="dxa" w:w="1881"/>
            <w:vAlign w:val="center"/>
          </w:tcPr>
          <w:p>
            <w:pPr>
              <w:jc w:val="left"/>
            </w:pPr>
            <w:r/>
            <w:r>
              <w:rPr>
                <w:rFonts w:ascii="Times New Roman" w:hAnsi="Times New Roman"/>
                <w:b w:val="0"/>
                <w:sz w:val="16"/>
              </w:rPr>
              <w:t>0,468</w:t>
            </w:r>
          </w:p>
        </w:tc>
        <w:tc>
          <w:tcPr>
            <w:tcW w:type="dxa" w:w="1881"/>
            <w:vAlign w:val="center"/>
          </w:tcPr>
          <w:p>
            <w:pPr>
              <w:jc w:val="left"/>
            </w:pPr>
            <w:r/>
            <w:r>
              <w:rPr>
                <w:rFonts w:ascii="Times New Roman" w:hAnsi="Times New Roman"/>
                <w:b w:val="0"/>
                <w:sz w:val="16"/>
              </w:rPr>
              <w:t>0,479</w:t>
            </w:r>
          </w:p>
        </w:tc>
        <w:tc>
          <w:tcPr>
            <w:tcW w:type="dxa" w:w="1881"/>
            <w:vAlign w:val="center"/>
          </w:tcPr>
          <w:p>
            <w:pPr>
              <w:jc w:val="left"/>
            </w:pPr>
            <w:r/>
            <w:r>
              <w:rPr>
                <w:rFonts w:ascii="Times New Roman" w:hAnsi="Times New Roman"/>
                <w:b w:val="0"/>
                <w:sz w:val="16"/>
              </w:rPr>
              <w:t>0,434</w:t>
            </w:r>
          </w:p>
        </w:tc>
      </w:tr>
      <w:tr>
        <w:trPr>
          <w:cantSplit/>
        </w:trPr>
        <w:tc>
          <w:tcPr>
            <w:tcW w:type="dxa" w:w="1881"/>
            <w:vAlign w:val="center"/>
          </w:tcPr>
          <w:p>
            <w:pPr>
              <w:jc w:val="left"/>
            </w:pPr>
            <w:r/>
            <w:r>
              <w:rPr>
                <w:rFonts w:ascii="Times New Roman" w:hAnsi="Times New Roman"/>
                <w:b w:val="0"/>
                <w:sz w:val="16"/>
              </w:rPr>
              <w:t>Random Forest Balanceado</w:t>
            </w:r>
          </w:p>
        </w:tc>
        <w:tc>
          <w:tcPr>
            <w:tcW w:type="dxa" w:w="1881"/>
            <w:vAlign w:val="center"/>
          </w:tcPr>
          <w:p>
            <w:pPr>
              <w:jc w:val="left"/>
            </w:pPr>
            <w:r/>
            <w:r>
              <w:rPr>
                <w:rFonts w:ascii="Times New Roman" w:hAnsi="Times New Roman"/>
                <w:b w:val="0"/>
                <w:sz w:val="16"/>
              </w:rPr>
              <w:t>0,523</w:t>
            </w:r>
          </w:p>
        </w:tc>
        <w:tc>
          <w:tcPr>
            <w:tcW w:type="dxa" w:w="1881"/>
            <w:vAlign w:val="center"/>
          </w:tcPr>
          <w:p>
            <w:pPr>
              <w:jc w:val="left"/>
            </w:pPr>
            <w:r/>
            <w:r>
              <w:rPr>
                <w:rFonts w:ascii="Times New Roman" w:hAnsi="Times New Roman"/>
                <w:b w:val="0"/>
                <w:sz w:val="16"/>
              </w:rPr>
              <w:t>0,531</w:t>
            </w:r>
          </w:p>
        </w:tc>
        <w:tc>
          <w:tcPr>
            <w:tcW w:type="dxa" w:w="1881"/>
            <w:vAlign w:val="center"/>
          </w:tcPr>
          <w:p>
            <w:pPr>
              <w:jc w:val="left"/>
            </w:pPr>
            <w:r/>
            <w:r>
              <w:rPr>
                <w:rFonts w:ascii="Times New Roman" w:hAnsi="Times New Roman"/>
                <w:b w:val="0"/>
                <w:sz w:val="16"/>
              </w:rPr>
              <w:t>0,555</w:t>
            </w:r>
          </w:p>
        </w:tc>
        <w:tc>
          <w:tcPr>
            <w:tcW w:type="dxa" w:w="1881"/>
            <w:vAlign w:val="center"/>
          </w:tcPr>
          <w:p>
            <w:pPr>
              <w:jc w:val="left"/>
            </w:pPr>
            <w:r/>
            <w:r>
              <w:rPr>
                <w:rFonts w:ascii="Times New Roman" w:hAnsi="Times New Roman"/>
                <w:b w:val="0"/>
                <w:sz w:val="16"/>
              </w:rPr>
              <w:t>0,521</w:t>
            </w:r>
          </w:p>
        </w:tc>
      </w:tr>
    </w:tbl>
    <w:p>
      <w:pPr>
        <w:spacing w:after="160"/>
        <w:jc w:val="center"/>
      </w:pPr>
      <w:r>
        <w:rPr>
          <w:rFonts w:ascii="Times New Roman" w:hAnsi="Times New Roman"/>
          <w:i/>
          <w:sz w:val="20"/>
        </w:rPr>
        <w:t>Tabela 8 - Comparação dos modelos avaliados.</w:t>
      </w:r>
    </w:p>
    <w:p>
      <w:r>
        <w:rPr>
          <w:rFonts w:ascii="Times New Roman" w:hAnsi="Times New Roman"/>
        </w:rP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fig_modelos_f1.png"/>
                    <pic:cNvPicPr/>
                  </pic:nvPicPr>
                  <pic:blipFill>
                    <a:blip r:embed="rId12"/>
                    <a:stretch>
                      <a:fillRect/>
                    </a:stretch>
                  </pic:blipFill>
                  <pic:spPr>
                    <a:xfrm>
                      <a:off x="0" y="0"/>
                      <a:ext cx="5486400" cy="2743200"/>
                    </a:xfrm>
                    <a:prstGeom prst="rect"/>
                  </pic:spPr>
                </pic:pic>
              </a:graphicData>
            </a:graphic>
          </wp:inline>
        </w:drawing>
      </w:r>
    </w:p>
    <w:p>
      <w:pPr>
        <w:spacing w:after="160"/>
        <w:jc w:val="center"/>
      </w:pPr>
      <w:r>
        <w:rPr>
          <w:rFonts w:ascii="Times New Roman" w:hAnsi="Times New Roman"/>
          <w:i/>
          <w:sz w:val="20"/>
        </w:rPr>
        <w:t>Figura 4 - Comparação dos modelos pelo F1-score macro.</w:t>
      </w:r>
    </w:p>
    <w:p>
      <w:pPr>
        <w:spacing w:after="120" w:line="276" w:lineRule="auto"/>
        <w:ind w:firstLine="709"/>
      </w:pPr>
      <w:r>
        <w:rPr>
          <w:rFonts w:ascii="Times New Roman" w:hAnsi="Times New Roman"/>
          <w:sz w:val="24"/>
        </w:rPr>
        <w:t>O melhor modelo foi o Random Forest Balanceado, com acurácia de 52,34%, precisão macro de 0,531, recall macro de 0,555 e F1-score macro de 0,521. Embora a acurácia não tenha sido muito superior à dos modelos iniciais, o F1-score macro foi o melhor resultado, indicando desempenho mais equilibrado entre as classes.</w:t>
      </w:r>
    </w:p>
    <w:p>
      <w:pPr>
        <w:spacing w:after="120" w:line="276" w:lineRule="auto"/>
        <w:ind w:firstLine="709"/>
      </w:pPr>
      <w:r>
        <w:rPr>
          <w:rFonts w:ascii="Times New Roman" w:hAnsi="Times New Roman"/>
          <w:sz w:val="24"/>
        </w:rPr>
        <w:t>A matriz de confusão do Random Forest Balanceado mostrou que o modelo identificou corretamente 47 dos 64 municípios de alto risco, alcançando recall de 0,73 para essa classe. Esse resultado é relevante porque municípios de alto risco são os mais importantes para ações preventivas e políticas de acompanhamento.</w:t>
      </w:r>
    </w:p>
    <w:tbl>
      <w:tblPr>
        <w:tblStyle w:val="TableGrid"/>
        <w:tblW w:type="auto" w:w="0"/>
        <w:jc w:val="center"/>
        <w:tblLook w:firstColumn="1" w:firstRow="1" w:lastColumn="0" w:lastRow="0" w:noHBand="0" w:noVBand="1" w:val="04A0"/>
      </w:tblPr>
      <w:tblGrid>
        <w:gridCol w:w="2351"/>
        <w:gridCol w:w="2351"/>
        <w:gridCol w:w="2351"/>
        <w:gridCol w:w="2351"/>
      </w:tblGrid>
      <w:tr>
        <w:trPr>
          <w:cantSplit/>
        </w:trPr>
        <w:tc>
          <w:tcPr>
            <w:tcW w:type="dxa" w:w="2351"/>
            <w:vAlign w:val="center"/>
            <w:shd w:fill="D9EAF7"/>
          </w:tcPr>
          <w:p>
            <w:pPr>
              <w:jc w:val="center"/>
            </w:pPr>
            <w:r/>
            <w:r>
              <w:rPr>
                <w:rFonts w:ascii="Times New Roman" w:hAnsi="Times New Roman"/>
                <w:b/>
                <w:sz w:val="16"/>
              </w:rPr>
              <w:t>Classe real / previsão</w:t>
            </w:r>
          </w:p>
        </w:tc>
        <w:tc>
          <w:tcPr>
            <w:tcW w:type="dxa" w:w="2351"/>
            <w:vAlign w:val="center"/>
            <w:shd w:fill="D9EAF7"/>
          </w:tcPr>
          <w:p>
            <w:pPr>
              <w:jc w:val="center"/>
            </w:pPr>
            <w:r/>
            <w:r>
              <w:rPr>
                <w:rFonts w:ascii="Times New Roman" w:hAnsi="Times New Roman"/>
                <w:b/>
                <w:sz w:val="16"/>
              </w:rPr>
              <w:t>Previsto: Baixo</w:t>
            </w:r>
          </w:p>
        </w:tc>
        <w:tc>
          <w:tcPr>
            <w:tcW w:type="dxa" w:w="2351"/>
            <w:vAlign w:val="center"/>
            <w:shd w:fill="D9EAF7"/>
          </w:tcPr>
          <w:p>
            <w:pPr>
              <w:jc w:val="center"/>
            </w:pPr>
            <w:r/>
            <w:r>
              <w:rPr>
                <w:rFonts w:ascii="Times New Roman" w:hAnsi="Times New Roman"/>
                <w:b/>
                <w:sz w:val="16"/>
              </w:rPr>
              <w:t>Previsto: Médio</w:t>
            </w:r>
          </w:p>
        </w:tc>
        <w:tc>
          <w:tcPr>
            <w:tcW w:type="dxa" w:w="2351"/>
            <w:vAlign w:val="center"/>
            <w:shd w:fill="D9EAF7"/>
          </w:tcPr>
          <w:p>
            <w:pPr>
              <w:jc w:val="center"/>
            </w:pPr>
            <w:r/>
            <w:r>
              <w:rPr>
                <w:rFonts w:ascii="Times New Roman" w:hAnsi="Times New Roman"/>
                <w:b/>
                <w:sz w:val="16"/>
              </w:rPr>
              <w:t>Previsto: Alto</w:t>
            </w:r>
          </w:p>
        </w:tc>
      </w:tr>
      <w:tr>
        <w:trPr>
          <w:cantSplit/>
        </w:trPr>
        <w:tc>
          <w:tcPr>
            <w:tcW w:type="dxa" w:w="2351"/>
            <w:vAlign w:val="center"/>
          </w:tcPr>
          <w:p>
            <w:pPr>
              <w:jc w:val="left"/>
            </w:pPr>
            <w:r/>
            <w:r>
              <w:rPr>
                <w:rFonts w:ascii="Times New Roman" w:hAnsi="Times New Roman"/>
                <w:b w:val="0"/>
                <w:sz w:val="16"/>
              </w:rPr>
              <w:t>Real: Baixo risco</w:t>
            </w:r>
          </w:p>
        </w:tc>
        <w:tc>
          <w:tcPr>
            <w:tcW w:type="dxa" w:w="2351"/>
            <w:vAlign w:val="center"/>
          </w:tcPr>
          <w:p>
            <w:pPr>
              <w:jc w:val="left"/>
            </w:pPr>
            <w:r/>
            <w:r>
              <w:rPr>
                <w:rFonts w:ascii="Times New Roman" w:hAnsi="Times New Roman"/>
                <w:b w:val="0"/>
                <w:sz w:val="16"/>
              </w:rPr>
              <w:t>34</w:t>
            </w:r>
          </w:p>
        </w:tc>
        <w:tc>
          <w:tcPr>
            <w:tcW w:type="dxa" w:w="2351"/>
            <w:vAlign w:val="center"/>
          </w:tcPr>
          <w:p>
            <w:pPr>
              <w:jc w:val="left"/>
            </w:pPr>
            <w:r/>
            <w:r>
              <w:rPr>
                <w:rFonts w:ascii="Times New Roman" w:hAnsi="Times New Roman"/>
                <w:b w:val="0"/>
                <w:sz w:val="16"/>
              </w:rPr>
              <w:t>13</w:t>
            </w:r>
          </w:p>
        </w:tc>
        <w:tc>
          <w:tcPr>
            <w:tcW w:type="dxa" w:w="2351"/>
            <w:vAlign w:val="center"/>
          </w:tcPr>
          <w:p>
            <w:pPr>
              <w:jc w:val="left"/>
            </w:pPr>
            <w:r/>
            <w:r>
              <w:rPr>
                <w:rFonts w:ascii="Times New Roman" w:hAnsi="Times New Roman"/>
                <w:b w:val="0"/>
                <w:sz w:val="16"/>
              </w:rPr>
              <w:t>20</w:t>
            </w:r>
          </w:p>
        </w:tc>
      </w:tr>
      <w:tr>
        <w:trPr>
          <w:cantSplit/>
        </w:trPr>
        <w:tc>
          <w:tcPr>
            <w:tcW w:type="dxa" w:w="2351"/>
            <w:vAlign w:val="center"/>
          </w:tcPr>
          <w:p>
            <w:pPr>
              <w:jc w:val="left"/>
            </w:pPr>
            <w:r/>
            <w:r>
              <w:rPr>
                <w:rFonts w:ascii="Times New Roman" w:hAnsi="Times New Roman"/>
                <w:b w:val="0"/>
                <w:sz w:val="16"/>
              </w:rPr>
              <w:t>Real: Médio risco</w:t>
            </w:r>
          </w:p>
        </w:tc>
        <w:tc>
          <w:tcPr>
            <w:tcW w:type="dxa" w:w="2351"/>
            <w:vAlign w:val="center"/>
          </w:tcPr>
          <w:p>
            <w:pPr>
              <w:jc w:val="left"/>
            </w:pPr>
            <w:r/>
            <w:r>
              <w:rPr>
                <w:rFonts w:ascii="Times New Roman" w:hAnsi="Times New Roman"/>
                <w:b w:val="0"/>
                <w:sz w:val="16"/>
              </w:rPr>
              <w:t>35</w:t>
            </w:r>
          </w:p>
        </w:tc>
        <w:tc>
          <w:tcPr>
            <w:tcW w:type="dxa" w:w="2351"/>
            <w:vAlign w:val="center"/>
          </w:tcPr>
          <w:p>
            <w:pPr>
              <w:jc w:val="left"/>
            </w:pPr>
            <w:r/>
            <w:r>
              <w:rPr>
                <w:rFonts w:ascii="Times New Roman" w:hAnsi="Times New Roman"/>
                <w:b w:val="0"/>
                <w:sz w:val="16"/>
              </w:rPr>
              <w:t>53</w:t>
            </w:r>
          </w:p>
        </w:tc>
        <w:tc>
          <w:tcPr>
            <w:tcW w:type="dxa" w:w="2351"/>
            <w:vAlign w:val="center"/>
          </w:tcPr>
          <w:p>
            <w:pPr>
              <w:jc w:val="left"/>
            </w:pPr>
            <w:r/>
            <w:r>
              <w:rPr>
                <w:rFonts w:ascii="Times New Roman" w:hAnsi="Times New Roman"/>
                <w:b w:val="0"/>
                <w:sz w:val="16"/>
              </w:rPr>
              <w:t>37</w:t>
            </w:r>
          </w:p>
        </w:tc>
      </w:tr>
      <w:tr>
        <w:trPr>
          <w:cantSplit/>
        </w:trPr>
        <w:tc>
          <w:tcPr>
            <w:tcW w:type="dxa" w:w="2351"/>
            <w:vAlign w:val="center"/>
          </w:tcPr>
          <w:p>
            <w:pPr>
              <w:jc w:val="left"/>
            </w:pPr>
            <w:r/>
            <w:r>
              <w:rPr>
                <w:rFonts w:ascii="Times New Roman" w:hAnsi="Times New Roman"/>
                <w:b w:val="0"/>
                <w:sz w:val="16"/>
              </w:rPr>
              <w:t>Real: Alto risco</w:t>
            </w:r>
          </w:p>
        </w:tc>
        <w:tc>
          <w:tcPr>
            <w:tcW w:type="dxa" w:w="2351"/>
            <w:vAlign w:val="center"/>
          </w:tcPr>
          <w:p>
            <w:pPr>
              <w:jc w:val="left"/>
            </w:pPr>
            <w:r/>
            <w:r>
              <w:rPr>
                <w:rFonts w:ascii="Times New Roman" w:hAnsi="Times New Roman"/>
                <w:b w:val="0"/>
                <w:sz w:val="16"/>
              </w:rPr>
              <w:t>6</w:t>
            </w:r>
          </w:p>
        </w:tc>
        <w:tc>
          <w:tcPr>
            <w:tcW w:type="dxa" w:w="2351"/>
            <w:vAlign w:val="center"/>
          </w:tcPr>
          <w:p>
            <w:pPr>
              <w:jc w:val="left"/>
            </w:pPr>
            <w:r/>
            <w:r>
              <w:rPr>
                <w:rFonts w:ascii="Times New Roman" w:hAnsi="Times New Roman"/>
                <w:b w:val="0"/>
                <w:sz w:val="16"/>
              </w:rPr>
              <w:t>11</w:t>
            </w:r>
          </w:p>
        </w:tc>
        <w:tc>
          <w:tcPr>
            <w:tcW w:type="dxa" w:w="2351"/>
            <w:vAlign w:val="center"/>
          </w:tcPr>
          <w:p>
            <w:pPr>
              <w:jc w:val="left"/>
            </w:pPr>
            <w:r/>
            <w:r>
              <w:rPr>
                <w:rFonts w:ascii="Times New Roman" w:hAnsi="Times New Roman"/>
                <w:b w:val="0"/>
                <w:sz w:val="16"/>
              </w:rPr>
              <w:t>47</w:t>
            </w:r>
          </w:p>
        </w:tc>
      </w:tr>
    </w:tbl>
    <w:p>
      <w:pPr>
        <w:spacing w:after="160"/>
        <w:jc w:val="center"/>
      </w:pPr>
      <w:r>
        <w:rPr>
          <w:rFonts w:ascii="Times New Roman" w:hAnsi="Times New Roman"/>
          <w:i/>
          <w:sz w:val="20"/>
        </w:rPr>
        <w:t>Tabela 9 - Matriz de confusão do Random Forest Balanceado.</w:t>
      </w:r>
    </w:p>
    <w:p>
      <w:pPr>
        <w:pStyle w:val="Heading2"/>
      </w:pPr>
      <w:r>
        <w:rPr>
          <w:rFonts w:ascii="Times New Roman" w:hAnsi="Times New Roman"/>
        </w:rPr>
        <w:t>8.1 Importância das variáveis</w:t>
      </w:r>
    </w:p>
    <w:p>
      <w:pPr>
        <w:spacing w:after="120" w:line="276" w:lineRule="auto"/>
        <w:ind w:firstLine="709"/>
      </w:pPr>
      <w:r>
        <w:rPr>
          <w:rFonts w:ascii="Times New Roman" w:hAnsi="Times New Roman"/>
          <w:sz w:val="24"/>
        </w:rPr>
        <w:t>A análise de importância das variáveis do Random Forest Balanceado indicou que a Taxa de Distorção Idade-Série dos Anos Finais foi o indicador mais relevante para a classificação do risco de abandono, com importância de 0,2772. Em seguida apareceram QTD_ALUNOS_INSE, média de alunos por turma e MEDIA_INSE.</w:t>
      </w:r>
    </w:p>
    <w:tbl>
      <w:tblPr>
        <w:tblStyle w:val="TableGrid"/>
        <w:tblW w:type="auto" w:w="0"/>
        <w:jc w:val="center"/>
        <w:tblLook w:firstColumn="1" w:firstRow="1" w:lastColumn="0" w:lastRow="0" w:noHBand="0" w:noVBand="1" w:val="04A0"/>
      </w:tblPr>
      <w:tblGrid>
        <w:gridCol w:w="4702"/>
        <w:gridCol w:w="4702"/>
      </w:tblGrid>
      <w:tr>
        <w:trPr>
          <w:cantSplit/>
        </w:trPr>
        <w:tc>
          <w:tcPr>
            <w:tcW w:type="dxa" w:w="4702"/>
            <w:vAlign w:val="center"/>
            <w:shd w:fill="D9EAF7"/>
          </w:tcPr>
          <w:p>
            <w:pPr>
              <w:jc w:val="center"/>
            </w:pPr>
            <w:r/>
            <w:r>
              <w:rPr>
                <w:rFonts w:ascii="Times New Roman" w:hAnsi="Times New Roman"/>
                <w:b/>
                <w:sz w:val="16"/>
              </w:rPr>
              <w:t>Variável</w:t>
            </w:r>
          </w:p>
        </w:tc>
        <w:tc>
          <w:tcPr>
            <w:tcW w:type="dxa" w:w="4702"/>
            <w:vAlign w:val="center"/>
            <w:shd w:fill="D9EAF7"/>
          </w:tcPr>
          <w:p>
            <w:pPr>
              <w:jc w:val="center"/>
            </w:pPr>
            <w:r/>
            <w:r>
              <w:rPr>
                <w:rFonts w:ascii="Times New Roman" w:hAnsi="Times New Roman"/>
                <w:b/>
                <w:sz w:val="16"/>
              </w:rPr>
              <w:t>Importância</w:t>
            </w:r>
          </w:p>
        </w:tc>
      </w:tr>
      <w:tr>
        <w:trPr>
          <w:cantSplit/>
        </w:trPr>
        <w:tc>
          <w:tcPr>
            <w:tcW w:type="dxa" w:w="4702"/>
            <w:vAlign w:val="center"/>
          </w:tcPr>
          <w:p>
            <w:pPr>
              <w:jc w:val="left"/>
            </w:pPr>
            <w:r/>
            <w:r>
              <w:rPr>
                <w:rFonts w:ascii="Times New Roman" w:hAnsi="Times New Roman"/>
                <w:b w:val="0"/>
                <w:sz w:val="16"/>
              </w:rPr>
              <w:t>TDI dos Anos Finais</w:t>
            </w:r>
          </w:p>
        </w:tc>
        <w:tc>
          <w:tcPr>
            <w:tcW w:type="dxa" w:w="4702"/>
            <w:vAlign w:val="center"/>
          </w:tcPr>
          <w:p>
            <w:pPr>
              <w:jc w:val="left"/>
            </w:pPr>
            <w:r/>
            <w:r>
              <w:rPr>
                <w:rFonts w:ascii="Times New Roman" w:hAnsi="Times New Roman"/>
                <w:b w:val="0"/>
                <w:sz w:val="16"/>
              </w:rPr>
              <w:t>0,2772</w:t>
            </w:r>
          </w:p>
        </w:tc>
      </w:tr>
      <w:tr>
        <w:trPr>
          <w:cantSplit/>
        </w:trPr>
        <w:tc>
          <w:tcPr>
            <w:tcW w:type="dxa" w:w="4702"/>
            <w:vAlign w:val="center"/>
          </w:tcPr>
          <w:p>
            <w:pPr>
              <w:jc w:val="left"/>
            </w:pPr>
            <w:r/>
            <w:r>
              <w:rPr>
                <w:rFonts w:ascii="Times New Roman" w:hAnsi="Times New Roman"/>
                <w:b w:val="0"/>
                <w:sz w:val="16"/>
              </w:rPr>
              <w:t>Qtd. alunos no INSE</w:t>
            </w:r>
          </w:p>
        </w:tc>
        <w:tc>
          <w:tcPr>
            <w:tcW w:type="dxa" w:w="4702"/>
            <w:vAlign w:val="center"/>
          </w:tcPr>
          <w:p>
            <w:pPr>
              <w:jc w:val="left"/>
            </w:pPr>
            <w:r/>
            <w:r>
              <w:rPr>
                <w:rFonts w:ascii="Times New Roman" w:hAnsi="Times New Roman"/>
                <w:b w:val="0"/>
                <w:sz w:val="16"/>
              </w:rPr>
              <w:t>0,1621</w:t>
            </w:r>
          </w:p>
        </w:tc>
      </w:tr>
      <w:tr>
        <w:trPr>
          <w:cantSplit/>
        </w:trPr>
        <w:tc>
          <w:tcPr>
            <w:tcW w:type="dxa" w:w="4702"/>
            <w:vAlign w:val="center"/>
          </w:tcPr>
          <w:p>
            <w:pPr>
              <w:jc w:val="left"/>
            </w:pPr>
            <w:r/>
            <w:r>
              <w:rPr>
                <w:rFonts w:ascii="Times New Roman" w:hAnsi="Times New Roman"/>
                <w:b w:val="0"/>
                <w:sz w:val="16"/>
              </w:rPr>
              <w:t>Média de alunos por turma</w:t>
            </w:r>
          </w:p>
        </w:tc>
        <w:tc>
          <w:tcPr>
            <w:tcW w:type="dxa" w:w="4702"/>
            <w:vAlign w:val="center"/>
          </w:tcPr>
          <w:p>
            <w:pPr>
              <w:jc w:val="left"/>
            </w:pPr>
            <w:r/>
            <w:r>
              <w:rPr>
                <w:rFonts w:ascii="Times New Roman" w:hAnsi="Times New Roman"/>
                <w:b w:val="0"/>
                <w:sz w:val="16"/>
              </w:rPr>
              <w:t>0,1607</w:t>
            </w:r>
          </w:p>
        </w:tc>
      </w:tr>
      <w:tr>
        <w:trPr>
          <w:cantSplit/>
        </w:trPr>
        <w:tc>
          <w:tcPr>
            <w:tcW w:type="dxa" w:w="4702"/>
            <w:vAlign w:val="center"/>
          </w:tcPr>
          <w:p>
            <w:pPr>
              <w:jc w:val="left"/>
            </w:pPr>
            <w:r/>
            <w:r>
              <w:rPr>
                <w:rFonts w:ascii="Times New Roman" w:hAnsi="Times New Roman"/>
                <w:b w:val="0"/>
                <w:sz w:val="16"/>
              </w:rPr>
              <w:t>Média INSE</w:t>
            </w:r>
          </w:p>
        </w:tc>
        <w:tc>
          <w:tcPr>
            <w:tcW w:type="dxa" w:w="4702"/>
            <w:vAlign w:val="center"/>
          </w:tcPr>
          <w:p>
            <w:pPr>
              <w:jc w:val="left"/>
            </w:pPr>
            <w:r/>
            <w:r>
              <w:rPr>
                <w:rFonts w:ascii="Times New Roman" w:hAnsi="Times New Roman"/>
                <w:b w:val="0"/>
                <w:sz w:val="16"/>
              </w:rPr>
              <w:t>0,1194</w:t>
            </w:r>
          </w:p>
        </w:tc>
      </w:tr>
      <w:tr>
        <w:trPr>
          <w:cantSplit/>
        </w:trPr>
        <w:tc>
          <w:tcPr>
            <w:tcW w:type="dxa" w:w="4702"/>
            <w:vAlign w:val="center"/>
          </w:tcPr>
          <w:p>
            <w:pPr>
              <w:jc w:val="left"/>
            </w:pPr>
            <w:r/>
            <w:r>
              <w:rPr>
                <w:rFonts w:ascii="Times New Roman" w:hAnsi="Times New Roman"/>
                <w:b w:val="0"/>
                <w:sz w:val="16"/>
              </w:rPr>
              <w:t>Reg. docente média-alta</w:t>
            </w:r>
          </w:p>
        </w:tc>
        <w:tc>
          <w:tcPr>
            <w:tcW w:type="dxa" w:w="4702"/>
            <w:vAlign w:val="center"/>
          </w:tcPr>
          <w:p>
            <w:pPr>
              <w:jc w:val="left"/>
            </w:pPr>
            <w:r/>
            <w:r>
              <w:rPr>
                <w:rFonts w:ascii="Times New Roman" w:hAnsi="Times New Roman"/>
                <w:b w:val="0"/>
                <w:sz w:val="16"/>
              </w:rPr>
              <w:t>0,0865</w:t>
            </w:r>
          </w:p>
        </w:tc>
      </w:tr>
      <w:tr>
        <w:trPr>
          <w:cantSplit/>
        </w:trPr>
        <w:tc>
          <w:tcPr>
            <w:tcW w:type="dxa" w:w="4702"/>
            <w:vAlign w:val="center"/>
          </w:tcPr>
          <w:p>
            <w:pPr>
              <w:jc w:val="left"/>
            </w:pPr>
            <w:r/>
            <w:r>
              <w:rPr>
                <w:rFonts w:ascii="Times New Roman" w:hAnsi="Times New Roman"/>
                <w:b w:val="0"/>
                <w:sz w:val="16"/>
              </w:rPr>
              <w:t>Reg. docente média-baixa</w:t>
            </w:r>
          </w:p>
        </w:tc>
        <w:tc>
          <w:tcPr>
            <w:tcW w:type="dxa" w:w="4702"/>
            <w:vAlign w:val="center"/>
          </w:tcPr>
          <w:p>
            <w:pPr>
              <w:jc w:val="left"/>
            </w:pPr>
            <w:r/>
            <w:r>
              <w:rPr>
                <w:rFonts w:ascii="Times New Roman" w:hAnsi="Times New Roman"/>
                <w:b w:val="0"/>
                <w:sz w:val="16"/>
              </w:rPr>
              <w:t>0,0721</w:t>
            </w:r>
          </w:p>
        </w:tc>
      </w:tr>
      <w:tr>
        <w:trPr>
          <w:cantSplit/>
        </w:trPr>
        <w:tc>
          <w:tcPr>
            <w:tcW w:type="dxa" w:w="4702"/>
            <w:vAlign w:val="center"/>
          </w:tcPr>
          <w:p>
            <w:pPr>
              <w:jc w:val="left"/>
            </w:pPr>
            <w:r/>
            <w:r>
              <w:rPr>
                <w:rFonts w:ascii="Times New Roman" w:hAnsi="Times New Roman"/>
                <w:b w:val="0"/>
                <w:sz w:val="16"/>
              </w:rPr>
              <w:t>Reg. docente baixa</w:t>
            </w:r>
          </w:p>
        </w:tc>
        <w:tc>
          <w:tcPr>
            <w:tcW w:type="dxa" w:w="4702"/>
            <w:vAlign w:val="center"/>
          </w:tcPr>
          <w:p>
            <w:pPr>
              <w:jc w:val="left"/>
            </w:pPr>
            <w:r/>
            <w:r>
              <w:rPr>
                <w:rFonts w:ascii="Times New Roman" w:hAnsi="Times New Roman"/>
                <w:b w:val="0"/>
                <w:sz w:val="16"/>
              </w:rPr>
              <w:t>0,0702</w:t>
            </w:r>
          </w:p>
        </w:tc>
      </w:tr>
      <w:tr>
        <w:trPr>
          <w:cantSplit/>
        </w:trPr>
        <w:tc>
          <w:tcPr>
            <w:tcW w:type="dxa" w:w="4702"/>
            <w:vAlign w:val="center"/>
          </w:tcPr>
          <w:p>
            <w:pPr>
              <w:jc w:val="left"/>
            </w:pPr>
            <w:r/>
            <w:r>
              <w:rPr>
                <w:rFonts w:ascii="Times New Roman" w:hAnsi="Times New Roman"/>
                <w:b w:val="0"/>
                <w:sz w:val="16"/>
              </w:rPr>
              <w:t>Reg. docente alta</w:t>
            </w:r>
          </w:p>
        </w:tc>
        <w:tc>
          <w:tcPr>
            <w:tcW w:type="dxa" w:w="4702"/>
            <w:vAlign w:val="center"/>
          </w:tcPr>
          <w:p>
            <w:pPr>
              <w:jc w:val="left"/>
            </w:pPr>
            <w:r/>
            <w:r>
              <w:rPr>
                <w:rFonts w:ascii="Times New Roman" w:hAnsi="Times New Roman"/>
                <w:b w:val="0"/>
                <w:sz w:val="16"/>
              </w:rPr>
              <w:t>0,0518</w:t>
            </w:r>
          </w:p>
        </w:tc>
      </w:tr>
    </w:tbl>
    <w:p>
      <w:pPr>
        <w:spacing w:after="160"/>
        <w:jc w:val="center"/>
      </w:pPr>
      <w:r>
        <w:rPr>
          <w:rFonts w:ascii="Times New Roman" w:hAnsi="Times New Roman"/>
          <w:i/>
          <w:sz w:val="20"/>
        </w:rPr>
        <w:t>Tabela 10 - Importância das variáveis no Random Forest Balanceado.</w:t>
      </w:r>
    </w:p>
    <w:p>
      <w:r>
        <w:rPr>
          <w:rFonts w:ascii="Times New Roman" w:hAnsi="Times New Roman"/>
        </w:rPr>
        <w:drawing>
          <wp:inline xmlns:a="http://schemas.openxmlformats.org/drawingml/2006/main" xmlns:pic="http://schemas.openxmlformats.org/drawingml/2006/picture">
            <wp:extent cx="5669280" cy="3118104"/>
            <wp:docPr id="5" name="Picture 5"/>
            <wp:cNvGraphicFramePr>
              <a:graphicFrameLocks noChangeAspect="1"/>
            </wp:cNvGraphicFramePr>
            <a:graphic>
              <a:graphicData uri="http://schemas.openxmlformats.org/drawingml/2006/picture">
                <pic:pic>
                  <pic:nvPicPr>
                    <pic:cNvPr id="0" name="fig_importancias.png"/>
                    <pic:cNvPicPr/>
                  </pic:nvPicPr>
                  <pic:blipFill>
                    <a:blip r:embed="rId13"/>
                    <a:stretch>
                      <a:fillRect/>
                    </a:stretch>
                  </pic:blipFill>
                  <pic:spPr>
                    <a:xfrm>
                      <a:off x="0" y="0"/>
                      <a:ext cx="5669280" cy="3118104"/>
                    </a:xfrm>
                    <a:prstGeom prst="rect"/>
                  </pic:spPr>
                </pic:pic>
              </a:graphicData>
            </a:graphic>
          </wp:inline>
        </w:drawing>
      </w:r>
    </w:p>
    <w:p>
      <w:pPr>
        <w:spacing w:after="160"/>
        <w:jc w:val="center"/>
      </w:pPr>
      <w:r>
        <w:rPr>
          <w:rFonts w:ascii="Times New Roman" w:hAnsi="Times New Roman"/>
          <w:i/>
          <w:sz w:val="20"/>
        </w:rPr>
        <w:t>Figura 5 - Importância das variáveis no Random Forest Balanceado.</w:t>
      </w:r>
    </w:p>
    <w:p>
      <w:pPr>
        <w:spacing w:after="120" w:line="276" w:lineRule="auto"/>
        <w:ind w:firstLine="709"/>
      </w:pPr>
      <w:r>
        <w:rPr>
          <w:rFonts w:ascii="Times New Roman" w:hAnsi="Times New Roman"/>
          <w:sz w:val="24"/>
        </w:rPr>
        <w:t>Esse resultado reforça as análises exploratórias: a distorção idade-série foi a variável com maior associação inicial com a taxa de abandono e também a principal variável para a classificação pelo modelo. A média de alunos por turma e o INSE também contribuíram quando analisados em conjunto com os demais indicadores, confirmando o caráter multifatorial do abandono escolar.</w:t>
      </w:r>
    </w:p>
    <w:p>
      <w:pPr>
        <w:pStyle w:val="Heading1"/>
      </w:pPr>
      <w:r>
        <w:rPr>
          <w:rFonts w:ascii="Times New Roman" w:hAnsi="Times New Roman"/>
        </w:rPr>
        <w:t>9 Aplicação prática e estudo de caso de Frutal</w:t>
      </w:r>
    </w:p>
    <w:p>
      <w:pPr>
        <w:spacing w:after="120" w:line="276" w:lineRule="auto"/>
        <w:ind w:firstLine="709"/>
      </w:pPr>
      <w:r>
        <w:rPr>
          <w:rFonts w:ascii="Times New Roman" w:hAnsi="Times New Roman"/>
          <w:sz w:val="24"/>
        </w:rPr>
        <w:t>Para a aplicação prática, o Random Forest Balanceado foi treinado com todos os municípios de Minas Gerais exceto Frutal e, em seguida, aplicado ao município de Frutal. Essa estratégia evita que o modelo seja avaliado em um município que já foi utilizado no treinamento.</w:t>
      </w:r>
    </w:p>
    <w:p>
      <w:pPr>
        <w:spacing w:after="120" w:line="276" w:lineRule="auto"/>
        <w:ind w:firstLine="709"/>
      </w:pPr>
      <w:r>
        <w:rPr>
          <w:rFonts w:ascii="Times New Roman" w:hAnsi="Times New Roman"/>
          <w:sz w:val="24"/>
        </w:rPr>
        <w:t>A classe real de Frutal, definida pelos quartis da taxa de abandono, é médio risco. Entretanto, o modelo classificou Frutal como alto risco. A análise das probabilidades indicou 43,01% para alto risco, 34,81% para médio risco e 22,18% para baixo risco. A diferença entre alto e médio risco não foi elevada, indicando certo grau de incerteza.</w:t>
      </w:r>
    </w:p>
    <w:tbl>
      <w:tblPr>
        <w:tblStyle w:val="TableGrid"/>
        <w:tblW w:type="auto" w:w="0"/>
        <w:jc w:val="center"/>
        <w:tblLook w:firstColumn="1" w:firstRow="1" w:lastColumn="0" w:lastRow="0" w:noHBand="0" w:noVBand="1" w:val="04A0"/>
      </w:tblPr>
      <w:tblGrid>
        <w:gridCol w:w="4702"/>
        <w:gridCol w:w="4702"/>
      </w:tblGrid>
      <w:tr>
        <w:trPr>
          <w:cantSplit/>
        </w:trPr>
        <w:tc>
          <w:tcPr>
            <w:tcW w:type="dxa" w:w="4702"/>
            <w:vAlign w:val="center"/>
            <w:shd w:fill="D9EAF7"/>
          </w:tcPr>
          <w:p>
            <w:pPr>
              <w:jc w:val="center"/>
            </w:pPr>
            <w:r/>
            <w:r>
              <w:rPr>
                <w:rFonts w:ascii="Times New Roman" w:hAnsi="Times New Roman"/>
                <w:b/>
                <w:sz w:val="16"/>
              </w:rPr>
              <w:t>Classe</w:t>
            </w:r>
          </w:p>
        </w:tc>
        <w:tc>
          <w:tcPr>
            <w:tcW w:type="dxa" w:w="4702"/>
            <w:vAlign w:val="center"/>
            <w:shd w:fill="D9EAF7"/>
          </w:tcPr>
          <w:p>
            <w:pPr>
              <w:jc w:val="center"/>
            </w:pPr>
            <w:r/>
            <w:r>
              <w:rPr>
                <w:rFonts w:ascii="Times New Roman" w:hAnsi="Times New Roman"/>
                <w:b/>
                <w:sz w:val="16"/>
              </w:rPr>
              <w:t>Probabilidade atribuída pelo modelo</w:t>
            </w:r>
          </w:p>
        </w:tc>
      </w:tr>
      <w:tr>
        <w:trPr>
          <w:cantSplit/>
        </w:trPr>
        <w:tc>
          <w:tcPr>
            <w:tcW w:type="dxa" w:w="4702"/>
            <w:vAlign w:val="center"/>
          </w:tcPr>
          <w:p>
            <w:pPr>
              <w:jc w:val="left"/>
            </w:pPr>
            <w:r/>
            <w:r>
              <w:rPr>
                <w:rFonts w:ascii="Times New Roman" w:hAnsi="Times New Roman"/>
                <w:b w:val="0"/>
                <w:sz w:val="16"/>
              </w:rPr>
              <w:t>Alto risco</w:t>
            </w:r>
          </w:p>
        </w:tc>
        <w:tc>
          <w:tcPr>
            <w:tcW w:type="dxa" w:w="4702"/>
            <w:vAlign w:val="center"/>
          </w:tcPr>
          <w:p>
            <w:pPr>
              <w:jc w:val="left"/>
            </w:pPr>
            <w:r/>
            <w:r>
              <w:rPr>
                <w:rFonts w:ascii="Times New Roman" w:hAnsi="Times New Roman"/>
                <w:b w:val="0"/>
                <w:sz w:val="16"/>
              </w:rPr>
              <w:t>43,01%</w:t>
            </w:r>
          </w:p>
        </w:tc>
      </w:tr>
      <w:tr>
        <w:trPr>
          <w:cantSplit/>
        </w:trPr>
        <w:tc>
          <w:tcPr>
            <w:tcW w:type="dxa" w:w="4702"/>
            <w:vAlign w:val="center"/>
          </w:tcPr>
          <w:p>
            <w:pPr>
              <w:jc w:val="left"/>
            </w:pPr>
            <w:r/>
            <w:r>
              <w:rPr>
                <w:rFonts w:ascii="Times New Roman" w:hAnsi="Times New Roman"/>
                <w:b w:val="0"/>
                <w:sz w:val="16"/>
              </w:rPr>
              <w:t>Médio risco</w:t>
            </w:r>
          </w:p>
        </w:tc>
        <w:tc>
          <w:tcPr>
            <w:tcW w:type="dxa" w:w="4702"/>
            <w:vAlign w:val="center"/>
          </w:tcPr>
          <w:p>
            <w:pPr>
              <w:jc w:val="left"/>
            </w:pPr>
            <w:r/>
            <w:r>
              <w:rPr>
                <w:rFonts w:ascii="Times New Roman" w:hAnsi="Times New Roman"/>
                <w:b w:val="0"/>
                <w:sz w:val="16"/>
              </w:rPr>
              <w:t>34,81%</w:t>
            </w:r>
          </w:p>
        </w:tc>
      </w:tr>
      <w:tr>
        <w:trPr>
          <w:cantSplit/>
        </w:trPr>
        <w:tc>
          <w:tcPr>
            <w:tcW w:type="dxa" w:w="4702"/>
            <w:vAlign w:val="center"/>
          </w:tcPr>
          <w:p>
            <w:pPr>
              <w:jc w:val="left"/>
            </w:pPr>
            <w:r/>
            <w:r>
              <w:rPr>
                <w:rFonts w:ascii="Times New Roman" w:hAnsi="Times New Roman"/>
                <w:b w:val="0"/>
                <w:sz w:val="16"/>
              </w:rPr>
              <w:t>Baixo risco</w:t>
            </w:r>
          </w:p>
        </w:tc>
        <w:tc>
          <w:tcPr>
            <w:tcW w:type="dxa" w:w="4702"/>
            <w:vAlign w:val="center"/>
          </w:tcPr>
          <w:p>
            <w:pPr>
              <w:jc w:val="left"/>
            </w:pPr>
            <w:r/>
            <w:r>
              <w:rPr>
                <w:rFonts w:ascii="Times New Roman" w:hAnsi="Times New Roman"/>
                <w:b w:val="0"/>
                <w:sz w:val="16"/>
              </w:rPr>
              <w:t>22,18%</w:t>
            </w:r>
          </w:p>
        </w:tc>
      </w:tr>
    </w:tbl>
    <w:p>
      <w:pPr>
        <w:spacing w:after="160"/>
        <w:jc w:val="center"/>
      </w:pPr>
      <w:r>
        <w:rPr>
          <w:rFonts w:ascii="Times New Roman" w:hAnsi="Times New Roman"/>
          <w:i/>
          <w:sz w:val="20"/>
        </w:rPr>
        <w:t>Tabela 11 - Probabilidades atribuídas a Frutal pelo modelo final.</w:t>
      </w:r>
    </w:p>
    <w:p>
      <w:pPr>
        <w:spacing w:after="120" w:line="276" w:lineRule="auto"/>
        <w:ind w:firstLine="709"/>
      </w:pPr>
      <w:r>
        <w:rPr>
          <w:rFonts w:ascii="Times New Roman" w:hAnsi="Times New Roman"/>
          <w:sz w:val="24"/>
        </w:rPr>
        <w:t>A predição de alto risco não deve ser interpretada como substituição da classe real, mas como uma sinalização complementar. Frutal não apresentou abandono suficientemente alto para ser classificado como alto risco pela regra dos quartis, mas possui indicadores que aproximam seu perfil de municípios mais críticos, especialmente TDI de 13,4% e média de alunos por turma de 26,2.</w:t>
      </w:r>
    </w:p>
    <w:p>
      <w:pPr>
        <w:spacing w:after="120" w:line="276" w:lineRule="auto"/>
        <w:ind w:firstLine="709"/>
      </w:pPr>
      <w:r>
        <w:rPr>
          <w:rFonts w:ascii="Times New Roman" w:hAnsi="Times New Roman"/>
          <w:sz w:val="24"/>
        </w:rPr>
        <w:t>Na prática, um modelo desse tipo poderia ser usado por gestores educacionais para apoiar o monitoramento de municípios, identificar localidades que merecem acompanhamento mais próximo e priorizar análises mais detalhadas sobre atraso escolar, permanência dos estudantes e organização das turmas. O modelo não substitui avaliação pedagógica ou gestão pública, mas pode funcionar como ferramenta de apoio à decisão.</w:t>
      </w:r>
    </w:p>
    <w:p>
      <w:pPr>
        <w:pStyle w:val="Heading1"/>
      </w:pPr>
      <w:r>
        <w:rPr>
          <w:rFonts w:ascii="Times New Roman" w:hAnsi="Times New Roman"/>
        </w:rPr>
        <w:t>10 Limitações do estudo</w:t>
      </w:r>
    </w:p>
    <w:p>
      <w:pPr>
        <w:spacing w:after="120" w:line="276" w:lineRule="auto"/>
        <w:ind w:firstLine="709"/>
      </w:pPr>
      <w:r>
        <w:rPr>
          <w:rFonts w:ascii="Times New Roman" w:hAnsi="Times New Roman"/>
          <w:sz w:val="24"/>
        </w:rPr>
        <w:t>O estudo possui limitações importantes. Primeiro, a análise utiliza apenas o ano de 2023. A incorporação de séries históricas poderia melhorar a robustez do modelo e permitir avaliar tendências temporais. Segundo, a unidade de análise é o município, o que impede compreender diferenças entre escolas, turmas ou perfis individuais de estudantes.</w:t>
      </w:r>
    </w:p>
    <w:p>
      <w:pPr>
        <w:spacing w:after="120" w:line="276" w:lineRule="auto"/>
        <w:ind w:firstLine="709"/>
      </w:pPr>
      <w:r>
        <w:rPr>
          <w:rFonts w:ascii="Times New Roman" w:hAnsi="Times New Roman"/>
          <w:sz w:val="24"/>
        </w:rPr>
        <w:t>Outra limitação é que nem todos os indicadores possuem exatamente o mesmo recorte de etapa. A taxa de abandono, a TDI e a média de alunos por turma foram analisadas nos Anos Finais, mas o INSE e a regularidade docente possuem características mais gerais. Além disso, variáveis externas importantes, como renda municipal, transporte escolar, ruralidade, violência, mercado de trabalho e infraestrutura escolar, não foram incluídas.</w:t>
      </w:r>
    </w:p>
    <w:p>
      <w:pPr>
        <w:spacing w:after="120" w:line="276" w:lineRule="auto"/>
        <w:ind w:firstLine="709"/>
      </w:pPr>
      <w:r>
        <w:rPr>
          <w:rFonts w:ascii="Times New Roman" w:hAnsi="Times New Roman"/>
          <w:sz w:val="24"/>
        </w:rPr>
        <w:t>Os modelos apresentaram desempenho moderado, o que indica que os indicadores selecionados capturam parte dos padrões associados ao abandono, mas não explicam todo o fenômeno. Assim, os resultados devem ser interpretados como análise exploratória e preditiva inicial, e não como diagnóstico causal.</w:t>
      </w:r>
    </w:p>
    <w:p>
      <w:pPr>
        <w:pStyle w:val="Heading1"/>
      </w:pPr>
      <w:r>
        <w:rPr>
          <w:rFonts w:ascii="Times New Roman" w:hAnsi="Times New Roman"/>
        </w:rPr>
        <w:t>11 Conclusão</w:t>
      </w:r>
    </w:p>
    <w:p>
      <w:pPr>
        <w:spacing w:after="120" w:line="276" w:lineRule="auto"/>
        <w:ind w:firstLine="709"/>
      </w:pPr>
      <w:r>
        <w:rPr>
          <w:rFonts w:ascii="Times New Roman" w:hAnsi="Times New Roman"/>
          <w:sz w:val="24"/>
        </w:rPr>
        <w:t>O projeto demonstrou que é possível construir um fluxo completo de Ciência de Dados utilizando bases públicas oficiais do INEP para analisar e classificar o risco de abandono escolar nos municípios de Minas Gerais. A integração das bases resultou em um dataset consistente, com 853 municípios e indicadores educacionais relevantes.</w:t>
      </w:r>
    </w:p>
    <w:p>
      <w:pPr>
        <w:spacing w:after="120" w:line="276" w:lineRule="auto"/>
        <w:ind w:firstLine="709"/>
      </w:pPr>
      <w:r>
        <w:rPr>
          <w:rFonts w:ascii="Times New Roman" w:hAnsi="Times New Roman"/>
          <w:sz w:val="24"/>
        </w:rPr>
        <w:t>A análise exploratória mostrou que a maior parte dos municípios apresenta taxas relativamente baixas de abandono, mas existem municípios com valores superiores ao padrão estadual. A Região Geográfica Intermediária de Uberaba apresentou nível socioeconômico médio mais elevado que Minas Gerais, mas também maior distorção idade-série. Frutal apresentou abandono próximo à média estadual e abaixo da média regional, mas TDI acima da média de Minas Gerais.</w:t>
      </w:r>
    </w:p>
    <w:p>
      <w:pPr>
        <w:spacing w:after="120" w:line="276" w:lineRule="auto"/>
        <w:ind w:firstLine="709"/>
      </w:pPr>
      <w:r>
        <w:rPr>
          <w:rFonts w:ascii="Times New Roman" w:hAnsi="Times New Roman"/>
          <w:sz w:val="24"/>
        </w:rPr>
        <w:t>A criação das classes de abandono permitiu transformar o problema em uma tarefa de classificação. Entre os modelos avaliados, o Random Forest Balanceado apresentou o melhor desempenho, especialmente por melhorar a identificação dos municípios de alto risco. A variável mais importante foi a TDI, reforçando a relevância do atraso escolar no fenômeno do abandono.</w:t>
      </w:r>
    </w:p>
    <w:p>
      <w:pPr>
        <w:spacing w:after="120" w:line="276" w:lineRule="auto"/>
        <w:ind w:firstLine="709"/>
      </w:pPr>
      <w:r>
        <w:rPr>
          <w:rFonts w:ascii="Times New Roman" w:hAnsi="Times New Roman"/>
          <w:sz w:val="24"/>
        </w:rPr>
        <w:t>A principal conclusão é que o abandono escolar é um fenômeno multifatorial. Nenhuma variável isolada explica fortemente o abandono, mas a combinação de indicadores permite capturar padrões relevantes. Para estudos futuros, recomenda-se ampliar o período analisado, incorporar indicadores socioeconômicos e territoriais externos ao INEP e testar modelos adicionais com validação temporal.</w:t>
      </w:r>
    </w:p>
    <w:p>
      <w:pPr>
        <w:pStyle w:val="Heading1"/>
      </w:pPr>
      <w:r>
        <w:rPr>
          <w:rFonts w:ascii="Times New Roman" w:hAnsi="Times New Roman"/>
        </w:rPr>
        <w:t>Referências</w:t>
      </w:r>
    </w:p>
    <w:p>
      <w:pPr>
        <w:spacing w:after="120" w:line="276" w:lineRule="auto"/>
      </w:pPr>
      <w:r>
        <w:rPr>
          <w:rFonts w:ascii="Times New Roman" w:hAnsi="Times New Roman"/>
          <w:sz w:val="24"/>
        </w:rPr>
        <w:t>BRASIL. Instituto Nacional de Estudos e Pesquisas Educacionais Anísio Teixeira (INEP). Indicadores Educacionais. Brasília: INEP. Disponível em: https://www.gov.br/inep/pt-br/acesso-a-informacao/dados-abertos/indicadores-educacionais. Acesso em: 02 jul. 2026.</w:t>
      </w:r>
    </w:p>
    <w:p>
      <w:pPr>
        <w:spacing w:after="120" w:line="276" w:lineRule="auto"/>
      </w:pPr>
      <w:r>
        <w:rPr>
          <w:rFonts w:ascii="Times New Roman" w:hAnsi="Times New Roman"/>
          <w:sz w:val="24"/>
        </w:rPr>
        <w:t>BRASIL. Instituto Nacional de Estudos e Pesquisas Educacionais Anísio Teixeira (INEP). Indicador de Nível Socioeconômico do Saeb 2023: nota técnica. Brasília: INEP, 2023.</w:t>
      </w:r>
    </w:p>
    <w:p>
      <w:pPr>
        <w:spacing w:after="120" w:line="276" w:lineRule="auto"/>
      </w:pPr>
      <w:r>
        <w:rPr>
          <w:rFonts w:ascii="Times New Roman" w:hAnsi="Times New Roman"/>
          <w:sz w:val="24"/>
        </w:rPr>
        <w:t>BRASIL. Instituto Nacional de Estudos e Pesquisas Educacionais Anísio Teixeira (INEP). Taxas de Rendimento Escolar. Brasília: INEP, 2023.</w:t>
      </w:r>
    </w:p>
    <w:p>
      <w:pPr>
        <w:spacing w:after="120" w:line="276" w:lineRule="auto"/>
      </w:pPr>
      <w:r>
        <w:rPr>
          <w:rFonts w:ascii="Times New Roman" w:hAnsi="Times New Roman"/>
          <w:sz w:val="24"/>
        </w:rPr>
        <w:t>IBGE. Divisão regional do Brasil em regiões geográficas imediatas e regiões geográficas intermediárias: 2017. Rio de Janeiro: IBGE, 2017.</w:t>
      </w:r>
    </w:p>
    <w:p>
      <w:pPr>
        <w:spacing w:after="120" w:line="276" w:lineRule="auto"/>
      </w:pPr>
      <w:r>
        <w:rPr>
          <w:rFonts w:ascii="Times New Roman" w:hAnsi="Times New Roman"/>
          <w:sz w:val="24"/>
        </w:rPr>
        <w:t>SCIKIT-LEARN. Machine Learning in Python. Documentação oficial. Disponível em: https://scikit-learn.org/. Acesso em: 02 jul. 2026.</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