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" w:line="228" w:lineRule="auto"/>
        <w:jc w:val="center"/>
      </w:pPr>
      <w:r>
        <w:rPr>
          <w:b/>
          <w:sz w:val="32"/>
        </w:rPr>
        <w:t>ACCEPTANCE TESTING</w:t>
      </w:r>
    </w:p>
    <w:p>
      <w:pPr>
        <w:spacing w:after="16" w:line="228" w:lineRule="auto"/>
        <w:jc w:val="center"/>
      </w:pPr>
      <w:r>
        <w:rPr>
          <w:b/>
          <w:sz w:val="26"/>
        </w:rPr>
        <w:t>UAT Execution &amp; Test Report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D9EAF7"/>
          </w:tcPr>
          <w:p>
            <w:pPr>
              <w:spacing w:after="0" w:line="216" w:lineRule="auto"/>
            </w:pPr>
            <w:r>
              <w:rPr>
                <w:sz w:val="13"/>
              </w:rPr>
              <w:t>Date</w:t>
            </w:r>
          </w:p>
        </w:tc>
        <w:tc>
          <w:tcPr>
            <w:tcW w:type="dxa" w:w="5400"/>
          </w:tcPr>
          <w:p>
            <w:pPr>
              <w:spacing w:after="0" w:line="216" w:lineRule="auto"/>
            </w:pPr>
            <w:r>
              <w:rPr>
                <w:sz w:val="13"/>
              </w:rPr>
              <w:t>01 October 2026</w:t>
            </w:r>
          </w:p>
        </w:tc>
      </w:tr>
      <w:tr>
        <w:tc>
          <w:tcPr>
            <w:tcW w:type="dxa" w:w="5400"/>
            <w:shd w:fill="D9EAF7"/>
          </w:tcPr>
          <w:p>
            <w:pPr>
              <w:spacing w:after="0" w:line="216" w:lineRule="auto"/>
            </w:pPr>
            <w:r>
              <w:rPr>
                <w:sz w:val="13"/>
              </w:rPr>
              <w:t>Team ID</w:t>
            </w:r>
          </w:p>
        </w:tc>
        <w:tc>
          <w:tcPr>
            <w:tcW w:type="dxa" w:w="5400"/>
          </w:tcPr>
          <w:p>
            <w:pPr>
              <w:spacing w:after="0" w:line="216" w:lineRule="auto"/>
            </w:pPr>
            <w:r>
              <w:rPr>
                <w:sz w:val="13"/>
              </w:rPr>
              <w:t>BDU463SWTID-2026-8770</w:t>
            </w:r>
          </w:p>
        </w:tc>
      </w:tr>
      <w:tr>
        <w:tc>
          <w:tcPr>
            <w:tcW w:type="dxa" w:w="5400"/>
            <w:shd w:fill="D9EAF7"/>
          </w:tcPr>
          <w:p>
            <w:pPr>
              <w:spacing w:after="0" w:line="216" w:lineRule="auto"/>
            </w:pPr>
            <w:r>
              <w:rPr>
                <w:sz w:val="13"/>
              </w:rPr>
              <w:t>Project Name</w:t>
            </w:r>
          </w:p>
        </w:tc>
        <w:tc>
          <w:tcPr>
            <w:tcW w:type="dxa" w:w="5400"/>
          </w:tcPr>
          <w:p>
            <w:pPr>
              <w:spacing w:after="0" w:line="216" w:lineRule="auto"/>
            </w:pPr>
            <w:r>
              <w:rPr>
                <w:sz w:val="13"/>
              </w:rPr>
              <w:t>Implement Client Script &amp; UI Policy</w:t>
            </w:r>
          </w:p>
        </w:tc>
      </w:tr>
    </w:tbl>
    <w:p>
      <w:pPr>
        <w:pStyle w:val="Heading1"/>
        <w:spacing w:after="16" w:line="228" w:lineRule="auto"/>
      </w:pPr>
      <w:r>
        <w:t>1. Purpose of Document</w:t>
      </w:r>
    </w:p>
    <w:p>
      <w:pPr>
        <w:spacing w:after="16" w:line="228" w:lineRule="auto"/>
      </w:pPr>
      <w:r>
        <w:t>The purpose of this document is to describe User Acceptance Testing coverage for Implement Client Script &amp; UI Policy. Testing verifies that client-side form behavior matches the defined requirements before release.</w:t>
      </w:r>
    </w:p>
    <w:p>
      <w:pPr>
        <w:pStyle w:val="Heading1"/>
        <w:spacing w:after="16" w:line="228" w:lineRule="auto"/>
      </w:pPr>
      <w:r>
        <w:t>2. Project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D9EAF7"/>
          </w:tcPr>
          <w:p>
            <w:pPr>
              <w:spacing w:after="0" w:line="216" w:lineRule="auto"/>
            </w:pPr>
            <w:r>
              <w:rPr>
                <w:sz w:val="13"/>
              </w:rPr>
              <w:t>Parameter</w:t>
            </w:r>
          </w:p>
        </w:tc>
        <w:tc>
          <w:tcPr>
            <w:tcW w:type="dxa" w:w="5400"/>
            <w:shd w:fill="D9EAF7"/>
          </w:tcPr>
          <w:p>
            <w:pPr>
              <w:spacing w:after="0" w:line="216" w:lineRule="auto"/>
            </w:pPr>
            <w:r>
              <w:rPr>
                <w:sz w:val="13"/>
              </w:rPr>
              <w:t>Project Information</w:t>
            </w:r>
          </w:p>
        </w:tc>
      </w:tr>
      <w:tr>
        <w:tc>
          <w:tcPr>
            <w:tcW w:type="dxa" w:w="5400"/>
          </w:tcPr>
          <w:p>
            <w:pPr>
              <w:spacing w:after="0" w:line="216" w:lineRule="auto"/>
            </w:pPr>
            <w:r>
              <w:rPr>
                <w:sz w:val="13"/>
              </w:rPr>
              <w:t>Project Name</w:t>
            </w:r>
          </w:p>
        </w:tc>
        <w:tc>
          <w:tcPr>
            <w:tcW w:type="dxa" w:w="5400"/>
          </w:tcPr>
          <w:p>
            <w:pPr>
              <w:spacing w:after="0" w:line="216" w:lineRule="auto"/>
            </w:pPr>
            <w:r>
              <w:rPr>
                <w:sz w:val="13"/>
              </w:rPr>
              <w:t>Implement Client Script &amp; UI Policy</w:t>
            </w:r>
          </w:p>
        </w:tc>
      </w:tr>
      <w:tr>
        <w:tc>
          <w:tcPr>
            <w:tcW w:type="dxa" w:w="5400"/>
          </w:tcPr>
          <w:p>
            <w:pPr>
              <w:spacing w:after="0" w:line="216" w:lineRule="auto"/>
            </w:pPr>
            <w:r>
              <w:rPr>
                <w:sz w:val="13"/>
              </w:rPr>
              <w:t>Project Description</w:t>
            </w:r>
          </w:p>
        </w:tc>
        <w:tc>
          <w:tcPr>
            <w:tcW w:type="dxa" w:w="5400"/>
          </w:tcPr>
          <w:p>
            <w:pPr>
              <w:spacing w:after="0" w:line="216" w:lineRule="auto"/>
            </w:pPr>
            <w:r>
              <w:rPr>
                <w:sz w:val="13"/>
              </w:rPr>
              <w:t>Implementation of Client Scripts and UI Policies for controlled, condition-based form behavior.</w:t>
            </w:r>
          </w:p>
        </w:tc>
      </w:tr>
      <w:tr>
        <w:tc>
          <w:tcPr>
            <w:tcW w:type="dxa" w:w="5400"/>
          </w:tcPr>
          <w:p>
            <w:pPr>
              <w:spacing w:after="0" w:line="216" w:lineRule="auto"/>
            </w:pPr>
            <w:r>
              <w:rPr>
                <w:sz w:val="13"/>
              </w:rPr>
              <w:t>Project Version</w:t>
            </w:r>
          </w:p>
        </w:tc>
        <w:tc>
          <w:tcPr>
            <w:tcW w:type="dxa" w:w="5400"/>
          </w:tcPr>
          <w:p>
            <w:pPr>
              <w:spacing w:after="0" w:line="216" w:lineRule="auto"/>
            </w:pPr>
            <w:r>
              <w:rPr>
                <w:sz w:val="13"/>
              </w:rPr>
              <w:t>1.0</w:t>
            </w:r>
          </w:p>
        </w:tc>
      </w:tr>
      <w:tr>
        <w:tc>
          <w:tcPr>
            <w:tcW w:type="dxa" w:w="5400"/>
          </w:tcPr>
          <w:p>
            <w:pPr>
              <w:spacing w:after="0" w:line="216" w:lineRule="auto"/>
            </w:pPr>
            <w:r>
              <w:rPr>
                <w:sz w:val="13"/>
              </w:rPr>
              <w:t>Testing Period</w:t>
            </w:r>
          </w:p>
        </w:tc>
        <w:tc>
          <w:tcPr>
            <w:tcW w:type="dxa" w:w="5400"/>
          </w:tcPr>
          <w:p>
            <w:pPr>
              <w:spacing w:after="0" w:line="216" w:lineRule="auto"/>
            </w:pPr>
            <w:r>
              <w:rPr>
                <w:sz w:val="13"/>
              </w:rPr>
              <w:t>01 Oct 2026 to 24 Oct 2026</w:t>
            </w:r>
          </w:p>
        </w:tc>
      </w:tr>
      <w:tr>
        <w:tc>
          <w:tcPr>
            <w:tcW w:type="dxa" w:w="5400"/>
          </w:tcPr>
          <w:p>
            <w:pPr>
              <w:spacing w:after="0" w:line="216" w:lineRule="auto"/>
            </w:pPr>
            <w:r>
              <w:rPr>
                <w:sz w:val="13"/>
              </w:rPr>
              <w:t>Testing Scope</w:t>
            </w:r>
          </w:p>
        </w:tc>
        <w:tc>
          <w:tcPr>
            <w:tcW w:type="dxa" w:w="5400"/>
          </w:tcPr>
          <w:p>
            <w:pPr>
              <w:spacing w:after="0" w:line="216" w:lineRule="auto"/>
            </w:pPr>
            <w:r>
              <w:rPr>
                <w:sz w:val="13"/>
              </w:rPr>
              <w:t>Client Script events, UI Policy conditions, field state changes, validation and regression scenarios.</w:t>
            </w:r>
          </w:p>
        </w:tc>
      </w:tr>
      <w:tr>
        <w:tc>
          <w:tcPr>
            <w:tcW w:type="dxa" w:w="5400"/>
          </w:tcPr>
          <w:p>
            <w:pPr>
              <w:spacing w:after="0" w:line="216" w:lineRule="auto"/>
            </w:pPr>
            <w:r>
              <w:rPr>
                <w:sz w:val="13"/>
              </w:rPr>
              <w:t>Testing Environment</w:t>
            </w:r>
          </w:p>
        </w:tc>
        <w:tc>
          <w:tcPr>
            <w:tcW w:type="dxa" w:w="5400"/>
          </w:tcPr>
          <w:p>
            <w:pPr>
              <w:spacing w:after="0" w:line="216" w:lineRule="auto"/>
            </w:pPr>
            <w:r>
              <w:rPr>
                <w:sz w:val="13"/>
              </w:rPr>
              <w:t>Development/UAT instance configured for the project</w:t>
            </w:r>
          </w:p>
        </w:tc>
      </w:tr>
      <w:tr>
        <w:tc>
          <w:tcPr>
            <w:tcW w:type="dxa" w:w="5400"/>
          </w:tcPr>
          <w:p>
            <w:pPr>
              <w:spacing w:after="0" w:line="216" w:lineRule="auto"/>
            </w:pPr>
            <w:r>
              <w:rPr>
                <w:sz w:val="13"/>
              </w:rPr>
              <w:t>Credentials</w:t>
            </w:r>
          </w:p>
        </w:tc>
        <w:tc>
          <w:tcPr>
            <w:tcW w:type="dxa" w:w="5400"/>
          </w:tcPr>
          <w:p>
            <w:pPr>
              <w:spacing w:after="0" w:line="216" w:lineRule="auto"/>
            </w:pPr>
            <w:r>
              <w:rPr>
                <w:sz w:val="13"/>
              </w:rPr>
              <w:t>Use authorized project test credentials only</w:t>
            </w:r>
          </w:p>
        </w:tc>
      </w:tr>
    </w:tbl>
    <w:p>
      <w:pPr>
        <w:pStyle w:val="Heading1"/>
        <w:spacing w:after="16" w:line="228" w:lineRule="auto"/>
      </w:pPr>
      <w:r>
        <w:t>3. Testing Scope</w:t>
      </w:r>
    </w:p>
    <w:p>
      <w:pPr>
        <w:spacing w:after="16" w:line="228" w:lineRule="auto"/>
      </w:pPr>
      <w:r>
        <w:rPr>
          <w:b/>
        </w:rPr>
        <w:t xml:space="preserve">• </w:t>
      </w:r>
      <w:r>
        <w:t>onLoad Client Script behavior.</w:t>
      </w:r>
    </w:p>
    <w:p>
      <w:pPr>
        <w:spacing w:after="16" w:line="228" w:lineRule="auto"/>
      </w:pPr>
      <w:r>
        <w:rPr>
          <w:b/>
        </w:rPr>
        <w:t xml:space="preserve">• </w:t>
      </w:r>
      <w:r>
        <w:t>onChange Client Script behavior for dependent fields.</w:t>
      </w:r>
    </w:p>
    <w:p>
      <w:pPr>
        <w:spacing w:after="16" w:line="228" w:lineRule="auto"/>
      </w:pPr>
      <w:r>
        <w:rPr>
          <w:b/>
        </w:rPr>
        <w:t xml:space="preserve">• </w:t>
      </w:r>
      <w:r>
        <w:t>UI Policy mandatory/optional behavior.</w:t>
      </w:r>
    </w:p>
    <w:p>
      <w:pPr>
        <w:spacing w:after="16" w:line="228" w:lineRule="auto"/>
      </w:pPr>
      <w:r>
        <w:rPr>
          <w:b/>
        </w:rPr>
        <w:t xml:space="preserve">• </w:t>
      </w:r>
      <w:r>
        <w:t>UI Policy visible/hidden behavior.</w:t>
      </w:r>
    </w:p>
    <w:p>
      <w:pPr>
        <w:spacing w:after="16" w:line="228" w:lineRule="auto"/>
      </w:pPr>
      <w:r>
        <w:rPr>
          <w:b/>
        </w:rPr>
        <w:t xml:space="preserve">• </w:t>
      </w:r>
      <w:r>
        <w:t>UI Policy read-only/editable behavior.</w:t>
      </w:r>
    </w:p>
    <w:p>
      <w:pPr>
        <w:spacing w:after="16" w:line="228" w:lineRule="auto"/>
      </w:pPr>
      <w:r>
        <w:rPr>
          <w:b/>
        </w:rPr>
        <w:t xml:space="preserve">• </w:t>
      </w:r>
      <w:r>
        <w:t>Interaction between Client Scripts and UI Policies.</w:t>
      </w:r>
    </w:p>
    <w:p>
      <w:pPr>
        <w:spacing w:after="16" w:line="228" w:lineRule="auto"/>
      </w:pPr>
      <w:r>
        <w:rPr>
          <w:b/>
        </w:rPr>
        <w:t xml:space="preserve">• </w:t>
      </w:r>
      <w:r>
        <w:t>Positive, negative and boundary scenarios.</w:t>
      </w:r>
    </w:p>
    <w:p>
      <w:pPr>
        <w:pStyle w:val="Heading1"/>
        <w:spacing w:after="16" w:line="228" w:lineRule="auto"/>
      </w:pPr>
      <w:r>
        <w:t>4. Test Cases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9EAF7"/>
          </w:tcPr>
          <w:p>
            <w:pPr>
              <w:spacing w:after="0" w:line="216" w:lineRule="auto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shd w:fill="D9EAF7"/>
          </w:tcPr>
          <w:p>
            <w:pPr>
              <w:spacing w:after="0" w:line="216" w:lineRule="auto"/>
            </w:pPr>
            <w:r>
              <w:rPr>
                <w:sz w:val="13"/>
              </w:rPr>
              <w:t>Scenario</w:t>
            </w:r>
          </w:p>
        </w:tc>
        <w:tc>
          <w:tcPr>
            <w:tcW w:type="dxa" w:w="1800"/>
            <w:shd w:fill="D9EAF7"/>
          </w:tcPr>
          <w:p>
            <w:pPr>
              <w:spacing w:after="0" w:line="216" w:lineRule="auto"/>
            </w:pPr>
            <w:r>
              <w:rPr>
                <w:sz w:val="13"/>
              </w:rPr>
              <w:t>Test Steps</w:t>
            </w:r>
          </w:p>
        </w:tc>
        <w:tc>
          <w:tcPr>
            <w:tcW w:type="dxa" w:w="1800"/>
            <w:shd w:fill="D9EAF7"/>
          </w:tcPr>
          <w:p>
            <w:pPr>
              <w:spacing w:after="0" w:line="216" w:lineRule="auto"/>
            </w:pPr>
            <w:r>
              <w:rPr>
                <w:sz w:val="13"/>
              </w:rPr>
              <w:t>Expected Result</w:t>
            </w:r>
          </w:p>
        </w:tc>
        <w:tc>
          <w:tcPr>
            <w:tcW w:type="dxa" w:w="1800"/>
            <w:shd w:fill="D9EAF7"/>
          </w:tcPr>
          <w:p>
            <w:pPr>
              <w:spacing w:after="0" w:line="216" w:lineRule="auto"/>
            </w:pPr>
            <w:r>
              <w:rPr>
                <w:sz w:val="13"/>
              </w:rPr>
              <w:t>Actual Result</w:t>
            </w:r>
          </w:p>
        </w:tc>
        <w:tc>
          <w:tcPr>
            <w:tcW w:type="dxa" w:w="1800"/>
            <w:shd w:fill="D9EAF7"/>
          </w:tcPr>
          <w:p>
            <w:pPr>
              <w:spacing w:after="0" w:line="216" w:lineRule="auto"/>
            </w:pPr>
            <w:r>
              <w:rPr>
                <w:sz w:val="13"/>
              </w:rPr>
              <w:t>Status</w:t>
            </w:r>
          </w:p>
        </w:tc>
      </w:tr>
      <w:tr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TC-001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onLoad initialization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Open target form and observe configured fields.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Defined initial values/state are applied.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As expected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Pass</w:t>
            </w:r>
          </w:p>
        </w:tc>
      </w:tr>
      <w:tr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TC-002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onChange dependency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Change controlling field and observe dependent field.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Dependent behavior updates according to rule.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As expected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Pass</w:t>
            </w:r>
          </w:p>
        </w:tc>
      </w:tr>
      <w:tr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TC-003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Mandatory UI Policy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Set condition that activates mandatory field.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Target field becomes mandatory.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As expected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Pass</w:t>
            </w:r>
          </w:p>
        </w:tc>
      </w:tr>
      <w:tr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TC-004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Visibility UI Policy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Set condition that controls visibility.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Target field is shown/hidden correctly.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As expected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Pass</w:t>
            </w:r>
          </w:p>
        </w:tc>
      </w:tr>
      <w:tr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TC-005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Read-only UI Policy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Set condition that locks field.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Target field becomes read-only.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As expected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Pass</w:t>
            </w:r>
          </w:p>
        </w:tc>
      </w:tr>
    </w:tbl>
    <w:p>
      <w:pPr>
        <w:spacing w:after="16" w:line="228" w:lineRule="auto"/>
      </w:pPr>
      <w:r>
        <w:br w:type="page"/>
      </w:r>
    </w:p>
    <w:p>
      <w:pPr>
        <w:pStyle w:val="Heading1"/>
        <w:spacing w:after="16" w:line="228" w:lineRule="auto"/>
      </w:pPr>
      <w:r>
        <w:t>5. Additional Test Cases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9EAF7"/>
          </w:tcPr>
          <w:p>
            <w:pPr>
              <w:spacing w:after="0" w:line="216" w:lineRule="auto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shd w:fill="D9EAF7"/>
          </w:tcPr>
          <w:p>
            <w:pPr>
              <w:spacing w:after="0" w:line="216" w:lineRule="auto"/>
            </w:pPr>
            <w:r>
              <w:rPr>
                <w:sz w:val="13"/>
              </w:rPr>
              <w:t>Scenario</w:t>
            </w:r>
          </w:p>
        </w:tc>
        <w:tc>
          <w:tcPr>
            <w:tcW w:type="dxa" w:w="1800"/>
            <w:shd w:fill="D9EAF7"/>
          </w:tcPr>
          <w:p>
            <w:pPr>
              <w:spacing w:after="0" w:line="216" w:lineRule="auto"/>
            </w:pPr>
            <w:r>
              <w:rPr>
                <w:sz w:val="13"/>
              </w:rPr>
              <w:t>Test Steps</w:t>
            </w:r>
          </w:p>
        </w:tc>
        <w:tc>
          <w:tcPr>
            <w:tcW w:type="dxa" w:w="1800"/>
            <w:shd w:fill="D9EAF7"/>
          </w:tcPr>
          <w:p>
            <w:pPr>
              <w:spacing w:after="0" w:line="216" w:lineRule="auto"/>
            </w:pPr>
            <w:r>
              <w:rPr>
                <w:sz w:val="13"/>
              </w:rPr>
              <w:t>Expected Result</w:t>
            </w:r>
          </w:p>
        </w:tc>
        <w:tc>
          <w:tcPr>
            <w:tcW w:type="dxa" w:w="1800"/>
            <w:shd w:fill="D9EAF7"/>
          </w:tcPr>
          <w:p>
            <w:pPr>
              <w:spacing w:after="0" w:line="216" w:lineRule="auto"/>
            </w:pPr>
            <w:r>
              <w:rPr>
                <w:sz w:val="13"/>
              </w:rPr>
              <w:t>Actual Result</w:t>
            </w:r>
          </w:p>
        </w:tc>
        <w:tc>
          <w:tcPr>
            <w:tcW w:type="dxa" w:w="1800"/>
            <w:shd w:fill="D9EAF7"/>
          </w:tcPr>
          <w:p>
            <w:pPr>
              <w:spacing w:after="0" w:line="216" w:lineRule="auto"/>
            </w:pPr>
            <w:r>
              <w:rPr>
                <w:sz w:val="13"/>
              </w:rPr>
              <w:t>Status</w:t>
            </w:r>
          </w:p>
        </w:tc>
      </w:tr>
      <w:tr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TC-006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Negative input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Enter an invalid or incomplete value.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Validation prevents incorrect submission or shows required feedback.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As expected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Pass</w:t>
            </w:r>
          </w:p>
        </w:tc>
      </w:tr>
      <w:tr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TC-007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Boundary input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Use minimum/maximum relevant values.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Form handles boundary values without unexpected behavior.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As expected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Pass</w:t>
            </w:r>
          </w:p>
        </w:tc>
      </w:tr>
      <w:tr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TC-008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Policy reversal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Change condition from true to false.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Field state returns to configured default behavior.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As expected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Pass</w:t>
            </w:r>
          </w:p>
        </w:tc>
      </w:tr>
      <w:tr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TC-009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Script and policy interaction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Trigger a Client Script where a UI Policy also applies.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No conflicting or unexpected field state occurs.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As expected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Pass</w:t>
            </w:r>
          </w:p>
        </w:tc>
      </w:tr>
      <w:tr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TC-010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Form submission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Complete valid required fields and submit.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Record submits successfully when requirements are satisfied.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As expected</w:t>
            </w:r>
          </w:p>
        </w:tc>
        <w:tc>
          <w:tcPr>
            <w:tcW w:type="dxa" w:w="1800"/>
          </w:tcPr>
          <w:p>
            <w:pPr>
              <w:spacing w:after="0" w:line="216" w:lineRule="auto"/>
            </w:pPr>
            <w:r>
              <w:rPr>
                <w:sz w:val="13"/>
              </w:rPr>
              <w:t>Pass</w:t>
            </w:r>
          </w:p>
        </w:tc>
      </w:tr>
    </w:tbl>
    <w:p>
      <w:pPr>
        <w:pStyle w:val="Heading1"/>
        <w:spacing w:after="16" w:line="228" w:lineRule="auto"/>
      </w:pPr>
      <w:r>
        <w:t>6. UAT Acceptance Criteria</w:t>
      </w:r>
    </w:p>
    <w:p>
      <w:pPr>
        <w:spacing w:after="16" w:line="228" w:lineRule="auto"/>
      </w:pPr>
      <w:r>
        <w:rPr>
          <w:b/>
        </w:rPr>
        <w:t xml:space="preserve">• </w:t>
      </w:r>
      <w:r>
        <w:t>All critical test cases pass.</w:t>
      </w:r>
    </w:p>
    <w:p>
      <w:pPr>
        <w:spacing w:after="16" w:line="228" w:lineRule="auto"/>
      </w:pPr>
      <w:r>
        <w:rPr>
          <w:b/>
        </w:rPr>
        <w:t xml:space="preserve">• </w:t>
      </w:r>
      <w:r>
        <w:t>Mandatory, visible/hidden and read-only states match requirements.</w:t>
      </w:r>
    </w:p>
    <w:p>
      <w:pPr>
        <w:spacing w:after="16" w:line="228" w:lineRule="auto"/>
      </w:pPr>
      <w:r>
        <w:rPr>
          <w:b/>
        </w:rPr>
        <w:t xml:space="preserve">• </w:t>
      </w:r>
      <w:r>
        <w:t>Client Scripts execute only for intended events.</w:t>
      </w:r>
    </w:p>
    <w:p>
      <w:pPr>
        <w:spacing w:after="16" w:line="228" w:lineRule="auto"/>
      </w:pPr>
      <w:r>
        <w:rPr>
          <w:b/>
        </w:rPr>
        <w:t xml:space="preserve">• </w:t>
      </w:r>
      <w:r>
        <w:t>No unresolved high-impact defect blocks the intended workflow.</w:t>
      </w:r>
    </w:p>
    <w:p>
      <w:pPr>
        <w:spacing w:after="16" w:line="228" w:lineRule="auto"/>
      </w:pPr>
      <w:r>
        <w:rPr>
          <w:b/>
        </w:rPr>
        <w:t xml:space="preserve">• </w:t>
      </w:r>
      <w:r>
        <w:t>Test evidence and observations are recorded.</w:t>
      </w:r>
    </w:p>
    <w:p>
      <w:pPr>
        <w:spacing w:after="16" w:line="228" w:lineRule="auto"/>
      </w:pPr>
      <w:r>
        <w:br w:type="page"/>
      </w:r>
    </w:p>
    <w:p>
      <w:pPr>
        <w:pStyle w:val="Heading1"/>
        <w:spacing w:after="16" w:line="228" w:lineRule="auto"/>
      </w:pPr>
      <w:r>
        <w:t>7. Test Case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pPr>
              <w:spacing w:after="0" w:line="216" w:lineRule="auto"/>
            </w:pPr>
            <w:r>
              <w:rPr>
                <w:sz w:val="13"/>
              </w:rPr>
              <w:t>Section</w:t>
            </w:r>
          </w:p>
        </w:tc>
        <w:tc>
          <w:tcPr>
            <w:tcW w:type="dxa" w:w="2160"/>
            <w:shd w:fill="D9EAF7"/>
          </w:tcPr>
          <w:p>
            <w:pPr>
              <w:spacing w:after="0" w:line="216" w:lineRule="auto"/>
            </w:pPr>
            <w:r>
              <w:rPr>
                <w:sz w:val="13"/>
              </w:rPr>
              <w:t>Total Cases</w:t>
            </w:r>
          </w:p>
        </w:tc>
        <w:tc>
          <w:tcPr>
            <w:tcW w:type="dxa" w:w="2160"/>
            <w:shd w:fill="D9EAF7"/>
          </w:tcPr>
          <w:p>
            <w:pPr>
              <w:spacing w:after="0" w:line="216" w:lineRule="auto"/>
            </w:pPr>
            <w:r>
              <w:rPr>
                <w:sz w:val="13"/>
              </w:rPr>
              <w:t>Not Tested</w:t>
            </w:r>
          </w:p>
        </w:tc>
        <w:tc>
          <w:tcPr>
            <w:tcW w:type="dxa" w:w="2160"/>
            <w:shd w:fill="D9EAF7"/>
          </w:tcPr>
          <w:p>
            <w:pPr>
              <w:spacing w:after="0" w:line="216" w:lineRule="auto"/>
            </w:pPr>
            <w:r>
              <w:rPr>
                <w:sz w:val="13"/>
              </w:rPr>
              <w:t>Fail</w:t>
            </w:r>
          </w:p>
        </w:tc>
        <w:tc>
          <w:tcPr>
            <w:tcW w:type="dxa" w:w="2160"/>
            <w:shd w:fill="D9EAF7"/>
          </w:tcPr>
          <w:p>
            <w:pPr>
              <w:spacing w:after="0" w:line="216" w:lineRule="auto"/>
            </w:pPr>
            <w:r>
              <w:rPr>
                <w:sz w:val="13"/>
              </w:rPr>
              <w:t>Pass</w:t>
            </w:r>
          </w:p>
        </w:tc>
      </w:tr>
      <w:tr>
        <w:tc>
          <w:tcPr>
            <w:tcW w:type="dxa" w:w="2160"/>
          </w:tcPr>
          <w:p>
            <w:pPr>
              <w:spacing w:after="0" w:line="216" w:lineRule="auto"/>
            </w:pPr>
            <w:r>
              <w:rPr>
                <w:sz w:val="13"/>
              </w:rPr>
              <w:t>Client Script Behavior</w:t>
            </w:r>
          </w:p>
        </w:tc>
        <w:tc>
          <w:tcPr>
            <w:tcW w:type="dxa" w:w="2160"/>
          </w:tcPr>
          <w:p>
            <w:pPr>
              <w:spacing w:after="0" w:line="216" w:lineRule="auto"/>
            </w:pPr>
            <w:r>
              <w:rPr>
                <w:sz w:val="13"/>
              </w:rPr>
              <w:t>3</w:t>
            </w:r>
          </w:p>
        </w:tc>
        <w:tc>
          <w:tcPr>
            <w:tcW w:type="dxa" w:w="2160"/>
          </w:tcPr>
          <w:p>
            <w:pPr>
              <w:spacing w:after="0" w:line="216" w:lineRule="auto"/>
            </w:pPr>
            <w:r>
              <w:rPr>
                <w:sz w:val="13"/>
              </w:rPr>
              <w:t>0</w:t>
            </w:r>
          </w:p>
        </w:tc>
        <w:tc>
          <w:tcPr>
            <w:tcW w:type="dxa" w:w="2160"/>
          </w:tcPr>
          <w:p>
            <w:pPr>
              <w:spacing w:after="0" w:line="216" w:lineRule="auto"/>
            </w:pPr>
            <w:r>
              <w:rPr>
                <w:sz w:val="13"/>
              </w:rPr>
              <w:t>0</w:t>
            </w:r>
          </w:p>
        </w:tc>
        <w:tc>
          <w:tcPr>
            <w:tcW w:type="dxa" w:w="2160"/>
          </w:tcPr>
          <w:p>
            <w:pPr>
              <w:spacing w:after="0" w:line="216" w:lineRule="auto"/>
            </w:pPr>
            <w:r>
              <w:rPr>
                <w:sz w:val="13"/>
              </w:rPr>
              <w:t>3</w:t>
            </w:r>
          </w:p>
        </w:tc>
      </w:tr>
      <w:tr>
        <w:tc>
          <w:tcPr>
            <w:tcW w:type="dxa" w:w="2160"/>
          </w:tcPr>
          <w:p>
            <w:pPr>
              <w:spacing w:after="0" w:line="216" w:lineRule="auto"/>
            </w:pPr>
            <w:r>
              <w:rPr>
                <w:sz w:val="13"/>
              </w:rPr>
              <w:t>UI Policy Behavior</w:t>
            </w:r>
          </w:p>
        </w:tc>
        <w:tc>
          <w:tcPr>
            <w:tcW w:type="dxa" w:w="2160"/>
          </w:tcPr>
          <w:p>
            <w:pPr>
              <w:spacing w:after="0" w:line="216" w:lineRule="auto"/>
            </w:pPr>
            <w:r>
              <w:rPr>
                <w:sz w:val="13"/>
              </w:rPr>
              <w:t>3</w:t>
            </w:r>
          </w:p>
        </w:tc>
        <w:tc>
          <w:tcPr>
            <w:tcW w:type="dxa" w:w="2160"/>
          </w:tcPr>
          <w:p>
            <w:pPr>
              <w:spacing w:after="0" w:line="216" w:lineRule="auto"/>
            </w:pPr>
            <w:r>
              <w:rPr>
                <w:sz w:val="13"/>
              </w:rPr>
              <w:t>0</w:t>
            </w:r>
          </w:p>
        </w:tc>
        <w:tc>
          <w:tcPr>
            <w:tcW w:type="dxa" w:w="2160"/>
          </w:tcPr>
          <w:p>
            <w:pPr>
              <w:spacing w:after="0" w:line="216" w:lineRule="auto"/>
            </w:pPr>
            <w:r>
              <w:rPr>
                <w:sz w:val="13"/>
              </w:rPr>
              <w:t>0</w:t>
            </w:r>
          </w:p>
        </w:tc>
        <w:tc>
          <w:tcPr>
            <w:tcW w:type="dxa" w:w="2160"/>
          </w:tcPr>
          <w:p>
            <w:pPr>
              <w:spacing w:after="0" w:line="216" w:lineRule="auto"/>
            </w:pPr>
            <w:r>
              <w:rPr>
                <w:sz w:val="13"/>
              </w:rPr>
              <w:t>3</w:t>
            </w:r>
          </w:p>
        </w:tc>
      </w:tr>
      <w:tr>
        <w:tc>
          <w:tcPr>
            <w:tcW w:type="dxa" w:w="2160"/>
          </w:tcPr>
          <w:p>
            <w:pPr>
              <w:spacing w:after="0" w:line="216" w:lineRule="auto"/>
            </w:pPr>
            <w:r>
              <w:rPr>
                <w:sz w:val="13"/>
              </w:rPr>
              <w:t>Validation &amp; Boundary</w:t>
            </w:r>
          </w:p>
        </w:tc>
        <w:tc>
          <w:tcPr>
            <w:tcW w:type="dxa" w:w="2160"/>
          </w:tcPr>
          <w:p>
            <w:pPr>
              <w:spacing w:after="0" w:line="216" w:lineRule="auto"/>
            </w:pPr>
            <w:r>
              <w:rPr>
                <w:sz w:val="13"/>
              </w:rPr>
              <w:t>2</w:t>
            </w:r>
          </w:p>
        </w:tc>
        <w:tc>
          <w:tcPr>
            <w:tcW w:type="dxa" w:w="2160"/>
          </w:tcPr>
          <w:p>
            <w:pPr>
              <w:spacing w:after="0" w:line="216" w:lineRule="auto"/>
            </w:pPr>
            <w:r>
              <w:rPr>
                <w:sz w:val="13"/>
              </w:rPr>
              <w:t>0</w:t>
            </w:r>
          </w:p>
        </w:tc>
        <w:tc>
          <w:tcPr>
            <w:tcW w:type="dxa" w:w="2160"/>
          </w:tcPr>
          <w:p>
            <w:pPr>
              <w:spacing w:after="0" w:line="216" w:lineRule="auto"/>
            </w:pPr>
            <w:r>
              <w:rPr>
                <w:sz w:val="13"/>
              </w:rPr>
              <w:t>0</w:t>
            </w:r>
          </w:p>
        </w:tc>
        <w:tc>
          <w:tcPr>
            <w:tcW w:type="dxa" w:w="2160"/>
          </w:tcPr>
          <w:p>
            <w:pPr>
              <w:spacing w:after="0" w:line="216" w:lineRule="auto"/>
            </w:pPr>
            <w:r>
              <w:rPr>
                <w:sz w:val="13"/>
              </w:rPr>
              <w:t>2</w:t>
            </w:r>
          </w:p>
        </w:tc>
      </w:tr>
      <w:tr>
        <w:tc>
          <w:tcPr>
            <w:tcW w:type="dxa" w:w="2160"/>
          </w:tcPr>
          <w:p>
            <w:pPr>
              <w:spacing w:after="0" w:line="216" w:lineRule="auto"/>
            </w:pPr>
            <w:r>
              <w:rPr>
                <w:sz w:val="13"/>
              </w:rPr>
              <w:t>Integration / Regression</w:t>
            </w:r>
          </w:p>
        </w:tc>
        <w:tc>
          <w:tcPr>
            <w:tcW w:type="dxa" w:w="2160"/>
          </w:tcPr>
          <w:p>
            <w:pPr>
              <w:spacing w:after="0" w:line="216" w:lineRule="auto"/>
            </w:pPr>
            <w:r>
              <w:rPr>
                <w:sz w:val="13"/>
              </w:rPr>
              <w:t>2</w:t>
            </w:r>
          </w:p>
        </w:tc>
        <w:tc>
          <w:tcPr>
            <w:tcW w:type="dxa" w:w="2160"/>
          </w:tcPr>
          <w:p>
            <w:pPr>
              <w:spacing w:after="0" w:line="216" w:lineRule="auto"/>
            </w:pPr>
            <w:r>
              <w:rPr>
                <w:sz w:val="13"/>
              </w:rPr>
              <w:t>0</w:t>
            </w:r>
          </w:p>
        </w:tc>
        <w:tc>
          <w:tcPr>
            <w:tcW w:type="dxa" w:w="2160"/>
          </w:tcPr>
          <w:p>
            <w:pPr>
              <w:spacing w:after="0" w:line="216" w:lineRule="auto"/>
            </w:pPr>
            <w:r>
              <w:rPr>
                <w:sz w:val="13"/>
              </w:rPr>
              <w:t>0</w:t>
            </w:r>
          </w:p>
        </w:tc>
        <w:tc>
          <w:tcPr>
            <w:tcW w:type="dxa" w:w="2160"/>
          </w:tcPr>
          <w:p>
            <w:pPr>
              <w:spacing w:after="0" w:line="216" w:lineRule="auto"/>
            </w:pPr>
            <w:r>
              <w:rPr>
                <w:sz w:val="13"/>
              </w:rPr>
              <w:t>2</w:t>
            </w:r>
          </w:p>
        </w:tc>
      </w:tr>
      <w:tr>
        <w:tc>
          <w:tcPr>
            <w:tcW w:type="dxa" w:w="2160"/>
          </w:tcPr>
          <w:p>
            <w:pPr>
              <w:spacing w:after="0" w:line="216" w:lineRule="auto"/>
            </w:pPr>
            <w:r>
              <w:rPr>
                <w:sz w:val="13"/>
              </w:rPr>
              <w:t>Total</w:t>
            </w:r>
          </w:p>
        </w:tc>
        <w:tc>
          <w:tcPr>
            <w:tcW w:type="dxa" w:w="2160"/>
          </w:tcPr>
          <w:p>
            <w:pPr>
              <w:spacing w:after="0" w:line="216" w:lineRule="auto"/>
            </w:pPr>
            <w:r>
              <w:rPr>
                <w:sz w:val="13"/>
              </w:rPr>
              <w:t>10</w:t>
            </w:r>
          </w:p>
        </w:tc>
        <w:tc>
          <w:tcPr>
            <w:tcW w:type="dxa" w:w="2160"/>
          </w:tcPr>
          <w:p>
            <w:pPr>
              <w:spacing w:after="0" w:line="216" w:lineRule="auto"/>
            </w:pPr>
            <w:r>
              <w:rPr>
                <w:sz w:val="13"/>
              </w:rPr>
              <w:t>0</w:t>
            </w:r>
          </w:p>
        </w:tc>
        <w:tc>
          <w:tcPr>
            <w:tcW w:type="dxa" w:w="2160"/>
          </w:tcPr>
          <w:p>
            <w:pPr>
              <w:spacing w:after="0" w:line="216" w:lineRule="auto"/>
            </w:pPr>
            <w:r>
              <w:rPr>
                <w:sz w:val="13"/>
              </w:rPr>
              <w:t>0</w:t>
            </w:r>
          </w:p>
        </w:tc>
        <w:tc>
          <w:tcPr>
            <w:tcW w:type="dxa" w:w="2160"/>
          </w:tcPr>
          <w:p>
            <w:pPr>
              <w:spacing w:after="0" w:line="216" w:lineRule="auto"/>
            </w:pPr>
            <w:r>
              <w:rPr>
                <w:sz w:val="13"/>
              </w:rPr>
              <w:t>10</w:t>
            </w:r>
          </w:p>
        </w:tc>
      </w:tr>
    </w:tbl>
    <w:p>
      <w:pPr>
        <w:pStyle w:val="Heading1"/>
        <w:spacing w:after="16" w:line="228" w:lineRule="auto"/>
      </w:pPr>
      <w:r>
        <w:t>8. UAT Summary</w:t>
      </w:r>
    </w:p>
    <w:p>
      <w:pPr>
        <w:spacing w:after="16" w:line="228" w:lineRule="auto"/>
      </w:pPr>
      <w:r>
        <w:t>The planned UAT set covers the principal behavior of Implement Client Script &amp; UI Policy. The test scenarios focus on the conditions, events and field states directly related to the project rather than unrelated sample applications.</w:t>
      </w:r>
    </w:p>
    <w:sectPr w:rsidR="00FC693F" w:rsidRPr="0006063C" w:rsidSect="00034616">
      <w:footerReference w:type="default" r:id="rId9"/>
      <w:pgSz w:w="12240" w:h="15840"/>
      <w:pgMar w:top="432" w:right="605" w:bottom="432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Implement Client Script &amp; UI Policy | BDU463SWTID-2026-8770 | UAT Execution &amp; Test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