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TECHNICAL IMPLEMENTATION GUIDE</w:t>
      </w:r>
    </w:p>
    <w:p>
      <w:r>
        <w:rPr>
          <w:b/>
          <w:sz w:val="24"/>
        </w:rPr>
        <w:t>Project Title</w:t>
      </w:r>
    </w:p>
    <w:p>
      <w:pPr>
        <w:spacing w:after="80" w:line="240" w:lineRule="auto"/>
      </w:pPr>
      <w:r>
        <w:rPr>
          <w:sz w:val="20"/>
        </w:rPr>
        <w:t>Implement Client Script &amp; UI Policy</w:t>
      </w:r>
    </w:p>
    <w:p>
      <w:r>
        <w:rPr>
          <w:b/>
          <w:sz w:val="24"/>
        </w:rPr>
        <w:t>Team ID</w:t>
      </w:r>
    </w:p>
    <w:p>
      <w:pPr>
        <w:spacing w:after="80" w:line="240" w:lineRule="auto"/>
      </w:pPr>
      <w:r>
        <w:rPr>
          <w:sz w:val="20"/>
        </w:rPr>
        <w:t>BDU463SWTID-2026-8770</w:t>
      </w:r>
    </w:p>
    <w:p>
      <w:r>
        <w:rPr>
          <w:b/>
          <w:sz w:val="24"/>
        </w:rPr>
        <w:t>1. Technology Context</w:t>
      </w:r>
    </w:p>
    <w:p>
      <w:pPr>
        <w:spacing w:after="80" w:line="240" w:lineRule="auto"/>
      </w:pPr>
      <w:r>
        <w:rPr>
          <w:sz w:val="20"/>
        </w:rPr>
        <w:t>The project is implemented on the ServiceNow platform using form configuration, UI Policies, and Client Scripts. The design emphasizes maintainable configuration and clear separation between declarative field control and scripted client-side logic.</w:t>
      </w:r>
    </w:p>
    <w:p>
      <w:r>
        <w:rPr>
          <w:b/>
          <w:sz w:val="24"/>
        </w:rPr>
        <w:t>2. Implementation Components</w:t>
      </w:r>
    </w:p>
    <w:p>
      <w:pPr>
        <w:spacing w:after="80" w:line="240" w:lineRule="auto"/>
      </w:pPr>
      <w:r>
        <w:rPr>
          <w:sz w:val="20"/>
        </w:rPr>
        <w:t>Primary components are: ServiceNow form, UI Policy, UI Policy Actions, Client Script, target fields, conditions, validation messages, and test cases.</w:t>
      </w:r>
    </w:p>
    <w:p>
      <w:r>
        <w:rPr>
          <w:b/>
          <w:sz w:val="24"/>
        </w:rPr>
        <w:t>3. Configuration Strategy</w:t>
      </w:r>
    </w:p>
    <w:p>
      <w:pPr>
        <w:spacing w:after="80" w:line="240" w:lineRule="auto"/>
      </w:pPr>
      <w:r>
        <w:rPr>
          <w:sz w:val="20"/>
        </w:rPr>
        <w:t>First identify the controlling field and dependent fields. Next define the expected form state for each condition. Then implement UI Policies for field-state changes and Client Scripts only where procedural logic is required.</w:t>
      </w:r>
    </w:p>
    <w:p>
      <w:r>
        <w:br w:type="page"/>
      </w:r>
    </w:p>
    <w:p>
      <w:pPr>
        <w:jc w:val="center"/>
      </w:pPr>
      <w:r>
        <w:rPr>
          <w:b/>
          <w:sz w:val="36"/>
        </w:rPr>
        <w:t>4. Detailed Client Script Logic</w:t>
      </w:r>
    </w:p>
    <w:p>
      <w:r>
        <w:rPr>
          <w:b/>
          <w:sz w:val="24"/>
        </w:rPr>
        <w:t>4.1 Example Scenario</w:t>
      </w:r>
    </w:p>
    <w:p>
      <w:pPr>
        <w:spacing w:after="80" w:line="240" w:lineRule="auto"/>
      </w:pPr>
      <w:r>
        <w:rPr>
          <w:sz w:val="20"/>
        </w:rPr>
        <w:t>Assume a form contains Category and Business Justification. When Category changes to a specific value, the Business Justification field should be handled according to the project rule.</w:t>
      </w:r>
    </w:p>
    <w:p>
      <w:r>
        <w:rPr>
          <w:b/>
          <w:sz w:val="24"/>
        </w:rPr>
        <w:t>4.2 onChange Logic</w:t>
      </w:r>
    </w:p>
    <w:p>
      <w:pPr>
        <w:spacing w:after="80" w:line="240" w:lineRule="auto"/>
      </w:pPr>
      <w:r>
        <w:rPr>
          <w:sz w:val="20"/>
        </w:rPr>
        <w:t>The onChange script receives the form context and the changed value. It can check the selected value, clear irrelevant data, display guidance, or trigger a controlled client-side action.</w:t>
      </w:r>
    </w:p>
    <w:p>
      <w:r>
        <w:rPr>
          <w:b/>
          <w:sz w:val="24"/>
        </w:rPr>
        <w:t>4.3 onSubmit Logic</w:t>
      </w:r>
    </w:p>
    <w:p>
      <w:pPr>
        <w:spacing w:after="80" w:line="240" w:lineRule="auto"/>
      </w:pPr>
      <w:r>
        <w:rPr>
          <w:sz w:val="20"/>
        </w:rPr>
        <w:t>Before submission, the script can verify that a required business condition is satisfied. If the condition fails, the user receives a clear message and submission is stopped.</w:t>
      </w:r>
    </w:p>
    <w:p>
      <w:r>
        <w:rPr>
          <w:b/>
          <w:sz w:val="24"/>
        </w:rPr>
        <w:t>4.4 Good Practices</w:t>
      </w:r>
    </w:p>
    <w:p>
      <w:pPr>
        <w:spacing w:after="80" w:line="240" w:lineRule="auto"/>
      </w:pPr>
      <w:r>
        <w:rPr>
          <w:sz w:val="20"/>
        </w:rPr>
        <w:t>Keep scripts short and readable, avoid duplicated conditions, use meaningful variable names, and avoid client-side logic that exposes sensitive business rules or attempts to replace server-side validation.</w:t>
      </w:r>
    </w:p>
    <w:p>
      <w:r>
        <w:br w:type="page"/>
      </w:r>
    </w:p>
    <w:p>
      <w:pPr>
        <w:jc w:val="center"/>
      </w:pPr>
      <w:r>
        <w:rPr>
          <w:b/>
          <w:sz w:val="36"/>
        </w:rPr>
        <w:t>5. Testing and Validation</w:t>
      </w:r>
    </w:p>
    <w:p>
      <w:r>
        <w:rPr>
          <w:b/>
          <w:sz w:val="24"/>
        </w:rPr>
        <w:t>Test Case 1</w:t>
      </w:r>
    </w:p>
    <w:p>
      <w:pPr>
        <w:spacing w:after="80" w:line="240" w:lineRule="auto"/>
      </w:pPr>
      <w:r>
        <w:rPr>
          <w:sz w:val="20"/>
        </w:rPr>
        <w:t>Open the target form and verify the initial field state. Confirm that fields configured as hidden, optional, or editable appear correctly.</w:t>
      </w:r>
    </w:p>
    <w:p>
      <w:r>
        <w:rPr>
          <w:b/>
          <w:sz w:val="24"/>
        </w:rPr>
        <w:t>Test Case 2</w:t>
      </w:r>
    </w:p>
    <w:p>
      <w:pPr>
        <w:spacing w:after="80" w:line="240" w:lineRule="auto"/>
      </w:pPr>
      <w:r>
        <w:rPr>
          <w:sz w:val="20"/>
        </w:rPr>
        <w:t>Change the controlling field to the condition that activates the policy. Verify visibility, mandatory status, and read-only behavior.</w:t>
      </w:r>
    </w:p>
    <w:p>
      <w:r>
        <w:rPr>
          <w:b/>
          <w:sz w:val="24"/>
        </w:rPr>
        <w:t>Test Case 3</w:t>
      </w:r>
    </w:p>
    <w:p>
      <w:pPr>
        <w:spacing w:after="80" w:line="240" w:lineRule="auto"/>
      </w:pPr>
      <w:r>
        <w:rPr>
          <w:sz w:val="20"/>
        </w:rPr>
        <w:t>Change the controlling value back. Verify that the reverse state is applied and stale values are handled according to the project rule.</w:t>
      </w:r>
    </w:p>
    <w:p>
      <w:r>
        <w:rPr>
          <w:b/>
          <w:sz w:val="24"/>
        </w:rPr>
        <w:t>Test Case 4</w:t>
      </w:r>
    </w:p>
    <w:p>
      <w:pPr>
        <w:spacing w:after="80" w:line="240" w:lineRule="auto"/>
      </w:pPr>
      <w:r>
        <w:rPr>
          <w:sz w:val="20"/>
        </w:rPr>
        <w:t>Attempt submission with invalid or incomplete data. Confirm that the Client Script provides the expected feedback and prevents submission when required.</w:t>
      </w:r>
    </w:p>
    <w:p>
      <w:r>
        <w:rPr>
          <w:b/>
          <w:sz w:val="24"/>
        </w:rPr>
        <w:t>6. Expected Outcome</w:t>
      </w:r>
    </w:p>
    <w:p>
      <w:pPr>
        <w:spacing w:after="80" w:line="240" w:lineRule="auto"/>
      </w:pPr>
      <w:r>
        <w:rPr>
          <w:sz w:val="20"/>
        </w:rPr>
        <w:t>The completed configuration provides predictable, user-friendly form behavior while keeping Client Script and UI Policy responsibilities clear.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