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INTERNSHIP REPORT</w:t>
      </w:r>
    </w:p>
    <w:p>
      <w:pPr>
        <w:jc w:val="center"/>
      </w:pPr>
      <w:r>
        <w:rPr>
          <w:b/>
          <w:sz w:val="48"/>
        </w:rPr>
        <w:t>Data Collection and Preprocessing Plan</w:t>
      </w:r>
    </w:p>
    <w:p>
      <w:pPr>
        <w:jc w:val="center"/>
      </w:pPr>
      <w:r>
        <w:rPr>
          <w:i/>
          <w:sz w:val="30"/>
        </w:rPr>
        <w:t>Apparel &amp; Textiles Industry</w:t>
      </w:r>
    </w:p>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EDEDED"/>
          </w:tcPr>
          <w:p>
            <w:r/>
            <w:r>
              <w:rPr>
                <w:rFonts w:ascii="Aptos" w:hAnsi="Aptos"/>
                <w:b/>
                <w:sz w:val="17"/>
              </w:rPr>
              <w:t>Report Item</w:t>
            </w:r>
          </w:p>
        </w:tc>
        <w:tc>
          <w:tcPr>
            <w:tcW w:type="dxa" w:w="8208"/>
            <w:vAlign w:val="center"/>
            <w:shd w:fill="EDEDED"/>
          </w:tcPr>
          <w:p>
            <w:r/>
            <w:r>
              <w:rPr>
                <w:rFonts w:ascii="Aptos" w:hAnsi="Aptos"/>
                <w:b/>
                <w:sz w:val="17"/>
              </w:rPr>
              <w:t>Details</w:t>
            </w:r>
          </w:p>
        </w:tc>
      </w:tr>
      <w:tr>
        <w:tc>
          <w:tcPr>
            <w:tcW w:type="dxa" w:w="2448"/>
            <w:vAlign w:val="center"/>
          </w:tcPr>
          <w:p>
            <w:r/>
            <w:r>
              <w:rPr>
                <w:rFonts w:ascii="Aptos" w:hAnsi="Aptos"/>
                <w:b w:val="0"/>
                <w:sz w:val="17"/>
              </w:rPr>
              <w:t>Task</w:t>
            </w:r>
          </w:p>
        </w:tc>
        <w:tc>
          <w:tcPr>
            <w:tcW w:type="dxa" w:w="8208"/>
            <w:vAlign w:val="center"/>
          </w:tcPr>
          <w:p>
            <w:r/>
            <w:r>
              <w:rPr>
                <w:rFonts w:ascii="Aptos" w:hAnsi="Aptos"/>
                <w:b w:val="0"/>
                <w:sz w:val="17"/>
              </w:rPr>
              <w:t>Week 2 — Data Collection and Preprocessing Plan</w:t>
            </w:r>
          </w:p>
        </w:tc>
      </w:tr>
      <w:tr>
        <w:tc>
          <w:tcPr>
            <w:tcW w:type="dxa" w:w="2448"/>
            <w:vAlign w:val="center"/>
          </w:tcPr>
          <w:p>
            <w:r/>
            <w:r>
              <w:rPr>
                <w:rFonts w:ascii="Aptos" w:hAnsi="Aptos"/>
                <w:b w:val="0"/>
                <w:sz w:val="17"/>
              </w:rPr>
              <w:t>Industry</w:t>
            </w:r>
          </w:p>
        </w:tc>
        <w:tc>
          <w:tcPr>
            <w:tcW w:type="dxa" w:w="8208"/>
            <w:vAlign w:val="center"/>
          </w:tcPr>
          <w:p>
            <w:r/>
            <w:r>
              <w:rPr>
                <w:rFonts w:ascii="Aptos" w:hAnsi="Aptos"/>
                <w:b w:val="0"/>
                <w:sz w:val="17"/>
              </w:rPr>
              <w:t>Apparel, Textiles, Garments and Related Supply Chains</w:t>
            </w:r>
          </w:p>
        </w:tc>
      </w:tr>
      <w:tr>
        <w:tc>
          <w:tcPr>
            <w:tcW w:type="dxa" w:w="2448"/>
            <w:vAlign w:val="center"/>
          </w:tcPr>
          <w:p>
            <w:r/>
            <w:r>
              <w:rPr>
                <w:rFonts w:ascii="Aptos" w:hAnsi="Aptos"/>
                <w:b w:val="0"/>
                <w:sz w:val="17"/>
              </w:rPr>
              <w:t>Primary objective</w:t>
            </w:r>
          </w:p>
        </w:tc>
        <w:tc>
          <w:tcPr>
            <w:tcW w:type="dxa" w:w="8208"/>
            <w:vAlign w:val="center"/>
          </w:tcPr>
          <w:p>
            <w:r/>
            <w:r>
              <w:rPr>
                <w:rFonts w:ascii="Aptos" w:hAnsi="Aptos"/>
                <w:b w:val="0"/>
                <w:sz w:val="17"/>
              </w:rPr>
              <w:t>Design a systematic, ethical and reproducible data collection + preprocessing workflow</w:t>
            </w:r>
          </w:p>
        </w:tc>
      </w:tr>
      <w:tr>
        <w:tc>
          <w:tcPr>
            <w:tcW w:type="dxa" w:w="2448"/>
            <w:vAlign w:val="center"/>
          </w:tcPr>
          <w:p>
            <w:r/>
            <w:r>
              <w:rPr>
                <w:rFonts w:ascii="Aptos" w:hAnsi="Aptos"/>
                <w:b w:val="0"/>
                <w:sz w:val="17"/>
              </w:rPr>
              <w:t>Scope</w:t>
            </w:r>
          </w:p>
        </w:tc>
        <w:tc>
          <w:tcPr>
            <w:tcW w:type="dxa" w:w="8208"/>
            <w:vAlign w:val="center"/>
          </w:tcPr>
          <w:p>
            <w:r/>
            <w:r>
              <w:rPr>
                <w:rFonts w:ascii="Aptos" w:hAnsi="Aptos"/>
                <w:b w:val="0"/>
                <w:sz w:val="17"/>
              </w:rPr>
              <w:t>Public market, trade, production, labour, consumer/circularity and related datasets</w:t>
            </w:r>
          </w:p>
        </w:tc>
      </w:tr>
      <w:tr>
        <w:tc>
          <w:tcPr>
            <w:tcW w:type="dxa" w:w="2448"/>
            <w:vAlign w:val="center"/>
          </w:tcPr>
          <w:p>
            <w:r/>
            <w:r>
              <w:rPr>
                <w:rFonts w:ascii="Aptos" w:hAnsi="Aptos"/>
                <w:b w:val="0"/>
                <w:sz w:val="17"/>
              </w:rPr>
              <w:t>Primary output</w:t>
            </w:r>
          </w:p>
        </w:tc>
        <w:tc>
          <w:tcPr>
            <w:tcW w:type="dxa" w:w="8208"/>
            <w:vAlign w:val="center"/>
          </w:tcPr>
          <w:p>
            <w:r/>
            <w:r>
              <w:rPr>
                <w:rFonts w:ascii="Aptos" w:hAnsi="Aptos"/>
                <w:b w:val="0"/>
                <w:sz w:val="17"/>
              </w:rPr>
              <w:t>A reusable data pipeline specification ready for implementation</w:t>
            </w:r>
          </w:p>
        </w:tc>
      </w:tr>
    </w:tbl>
    <w:p>
      <w:pPr>
        <w:spacing w:after="20"/>
      </w:pPr>
    </w:p>
    <w:p>
      <w:r>
        <w:br w:type="page"/>
      </w:r>
    </w:p>
    <w:p>
      <w:pPr>
        <w:pStyle w:val="Heading1"/>
      </w:pPr>
      <w:r>
        <w:t>1. Executive Summary</w:t>
      </w:r>
    </w:p>
    <w:p>
      <w:r>
        <w:t>The purpose of this report is to define a practical methodology for collecting and preparing public apparel and textiles data before advanced analytics are attempted. The main principle is that data collection and preprocessing should be designed together: the source determines the available dimensions, the collection method determines reproducibility, and preprocessing determines whether datasets can later be compared or joined safely.</w:t>
      </w:r>
    </w:p>
    <w:p>
      <w:r>
        <w:t>The proposed approach uses a source hierarchy built around authoritative public providers: UN Comtrade for bilateral trade, World Bank WITS for trade and tariff indicators, WTO statistics for macro-level trade validation, Eurostat PRODCOM for EU industrial production, ILOSTAT for labour indicators, FAOSTAT for upstream agricultural and cotton signals, and the European Environment Agency for textile consumption, waste and circularity indicators. These sources are intentionally complementary. They should not be merged immediately because their product classifications, geographic coverage, frequencies, units and methodologies differ.</w:t>
      </w:r>
    </w:p>
    <w:p>
      <w:r>
        <w:t>The collection strategy therefore follows a controlled sequence: define the analytical question → register the source and metadata → choose API/download/manual collection → preserve the raw response → validate schema and provenance → standardize geography, time, product codes and units → profile missingness and duplicates → handle outliers using rules that preserve genuine market events → create a validated analytical layer → document every transformation. This design minimizes silent data corruption and makes the final dataset reproducible.</w:t>
      </w:r>
    </w:p>
    <w:p>
      <w:pPr>
        <w:pStyle w:val="Heading1"/>
      </w:pPr>
      <w:r>
        <w:t>2. Data Requirements and Target Analytical Grain</w:t>
      </w:r>
    </w:p>
    <w:p>
      <w:r>
        <w:t>Before collecting any data, the project should define the intended grain of each table. For the first apparel/textiles prototype, the preferred analytical grain is one observation per country × partner × product group × period for trade, and country × product × period for production. Environmental and labour tables will use their own published grain and will be joined only after compatible dimensions are confirmed.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EDEDED"/>
          </w:tcPr>
          <w:p>
            <w:r/>
            <w:r>
              <w:rPr>
                <w:rFonts w:ascii="Aptos" w:hAnsi="Aptos"/>
                <w:b/>
                <w:sz w:val="17"/>
              </w:rPr>
              <w:t>Data domain</w:t>
            </w:r>
          </w:p>
        </w:tc>
        <w:tc>
          <w:tcPr>
            <w:tcW w:type="dxa" w:w="2880"/>
            <w:vAlign w:val="center"/>
            <w:shd w:fill="EDEDED"/>
          </w:tcPr>
          <w:p>
            <w:r/>
            <w:r>
              <w:rPr>
                <w:rFonts w:ascii="Aptos" w:hAnsi="Aptos"/>
                <w:b/>
                <w:sz w:val="17"/>
              </w:rPr>
              <w:t>Preferred grain</w:t>
            </w:r>
          </w:p>
        </w:tc>
        <w:tc>
          <w:tcPr>
            <w:tcW w:type="dxa" w:w="3888"/>
            <w:vAlign w:val="center"/>
            <w:shd w:fill="EDEDED"/>
          </w:tcPr>
          <w:p>
            <w:r/>
            <w:r>
              <w:rPr>
                <w:rFonts w:ascii="Aptos" w:hAnsi="Aptos"/>
                <w:b/>
                <w:sz w:val="17"/>
              </w:rPr>
              <w:t>Core fields</w:t>
            </w:r>
          </w:p>
        </w:tc>
        <w:tc>
          <w:tcPr>
            <w:tcW w:type="dxa" w:w="2592"/>
            <w:vAlign w:val="center"/>
            <w:shd w:fill="EDEDED"/>
          </w:tcPr>
          <w:p>
            <w:r/>
            <w:r>
              <w:rPr>
                <w:rFonts w:ascii="Aptos" w:hAnsi="Aptos"/>
                <w:b/>
                <w:sz w:val="17"/>
              </w:rPr>
              <w:t>Primary analytical use</w:t>
            </w:r>
          </w:p>
        </w:tc>
      </w:tr>
      <w:tr>
        <w:tc>
          <w:tcPr>
            <w:tcW w:type="dxa" w:w="1584"/>
            <w:vAlign w:val="center"/>
          </w:tcPr>
          <w:p>
            <w:r/>
            <w:r>
              <w:rPr>
                <w:rFonts w:ascii="Aptos" w:hAnsi="Aptos"/>
                <w:b w:val="0"/>
                <w:sz w:val="17"/>
              </w:rPr>
              <w:t>Trade</w:t>
            </w:r>
          </w:p>
        </w:tc>
        <w:tc>
          <w:tcPr>
            <w:tcW w:type="dxa" w:w="2880"/>
            <w:vAlign w:val="center"/>
          </w:tcPr>
          <w:p>
            <w:r/>
            <w:r>
              <w:rPr>
                <w:rFonts w:ascii="Aptos" w:hAnsi="Aptos"/>
                <w:b w:val="0"/>
                <w:sz w:val="17"/>
              </w:rPr>
              <w:t>Reporter × Partner × Product × Year/Month</w:t>
            </w:r>
          </w:p>
        </w:tc>
        <w:tc>
          <w:tcPr>
            <w:tcW w:type="dxa" w:w="3888"/>
            <w:vAlign w:val="center"/>
          </w:tcPr>
          <w:p>
            <w:r/>
            <w:r>
              <w:rPr>
                <w:rFonts w:ascii="Aptos" w:hAnsi="Aptos"/>
                <w:b w:val="0"/>
                <w:sz w:val="17"/>
              </w:rPr>
              <w:t>reporter, partner, HS/product code, period, value, quantity</w:t>
            </w:r>
          </w:p>
        </w:tc>
        <w:tc>
          <w:tcPr>
            <w:tcW w:type="dxa" w:w="2592"/>
            <w:vAlign w:val="center"/>
          </w:tcPr>
          <w:p>
            <w:r/>
            <w:r>
              <w:rPr>
                <w:rFonts w:ascii="Aptos" w:hAnsi="Aptos"/>
                <w:b w:val="0"/>
                <w:sz w:val="17"/>
              </w:rPr>
              <w:t>Market growth, partner concentration, sourcing/export exposure</w:t>
            </w:r>
          </w:p>
        </w:tc>
      </w:tr>
      <w:tr>
        <w:tc>
          <w:tcPr>
            <w:tcW w:type="dxa" w:w="1584"/>
            <w:vAlign w:val="center"/>
          </w:tcPr>
          <w:p>
            <w:r/>
            <w:r>
              <w:rPr>
                <w:rFonts w:ascii="Aptos" w:hAnsi="Aptos"/>
                <w:b w:val="0"/>
                <w:sz w:val="17"/>
              </w:rPr>
              <w:t>Production</w:t>
            </w:r>
          </w:p>
        </w:tc>
        <w:tc>
          <w:tcPr>
            <w:tcW w:type="dxa" w:w="2880"/>
            <w:vAlign w:val="center"/>
          </w:tcPr>
          <w:p>
            <w:r/>
            <w:r>
              <w:rPr>
                <w:rFonts w:ascii="Aptos" w:hAnsi="Aptos"/>
                <w:b w:val="0"/>
                <w:sz w:val="17"/>
              </w:rPr>
              <w:t>Country × Product × Period</w:t>
            </w:r>
          </w:p>
        </w:tc>
        <w:tc>
          <w:tcPr>
            <w:tcW w:type="dxa" w:w="3888"/>
            <w:vAlign w:val="center"/>
          </w:tcPr>
          <w:p>
            <w:r/>
            <w:r>
              <w:rPr>
                <w:rFonts w:ascii="Aptos" w:hAnsi="Aptos"/>
                <w:b w:val="0"/>
                <w:sz w:val="17"/>
              </w:rPr>
              <w:t>country, product, production measure, period, unit</w:t>
            </w:r>
          </w:p>
        </w:tc>
        <w:tc>
          <w:tcPr>
            <w:tcW w:type="dxa" w:w="2592"/>
            <w:vAlign w:val="center"/>
          </w:tcPr>
          <w:p>
            <w:r/>
            <w:r>
              <w:rPr>
                <w:rFonts w:ascii="Aptos" w:hAnsi="Aptos"/>
                <w:b w:val="0"/>
                <w:sz w:val="17"/>
              </w:rPr>
              <w:t>Manufacturing trend and capacity context</w:t>
            </w:r>
          </w:p>
        </w:tc>
      </w:tr>
      <w:tr>
        <w:tc>
          <w:tcPr>
            <w:tcW w:type="dxa" w:w="1584"/>
            <w:vAlign w:val="center"/>
          </w:tcPr>
          <w:p>
            <w:r/>
            <w:r>
              <w:rPr>
                <w:rFonts w:ascii="Aptos" w:hAnsi="Aptos"/>
                <w:b w:val="0"/>
                <w:sz w:val="17"/>
              </w:rPr>
              <w:t>Labour</w:t>
            </w:r>
          </w:p>
        </w:tc>
        <w:tc>
          <w:tcPr>
            <w:tcW w:type="dxa" w:w="2880"/>
            <w:vAlign w:val="center"/>
          </w:tcPr>
          <w:p>
            <w:r/>
            <w:r>
              <w:rPr>
                <w:rFonts w:ascii="Aptos" w:hAnsi="Aptos"/>
                <w:b w:val="0"/>
                <w:sz w:val="17"/>
              </w:rPr>
              <w:t>Country × Sector × Period</w:t>
            </w:r>
          </w:p>
        </w:tc>
        <w:tc>
          <w:tcPr>
            <w:tcW w:type="dxa" w:w="3888"/>
            <w:vAlign w:val="center"/>
          </w:tcPr>
          <w:p>
            <w:r/>
            <w:r>
              <w:rPr>
                <w:rFonts w:ascii="Aptos" w:hAnsi="Aptos"/>
                <w:b w:val="0"/>
                <w:sz w:val="17"/>
              </w:rPr>
              <w:t>country, sector, employment, wages/productivity, period</w:t>
            </w:r>
          </w:p>
        </w:tc>
        <w:tc>
          <w:tcPr>
            <w:tcW w:type="dxa" w:w="2592"/>
            <w:vAlign w:val="center"/>
          </w:tcPr>
          <w:p>
            <w:r/>
            <w:r>
              <w:rPr>
                <w:rFonts w:ascii="Aptos" w:hAnsi="Aptos"/>
                <w:b w:val="0"/>
                <w:sz w:val="17"/>
              </w:rPr>
              <w:t>Labour availability and productivity context</w:t>
            </w:r>
          </w:p>
        </w:tc>
      </w:tr>
      <w:tr>
        <w:tc>
          <w:tcPr>
            <w:tcW w:type="dxa" w:w="1584"/>
            <w:vAlign w:val="center"/>
          </w:tcPr>
          <w:p>
            <w:r/>
            <w:r>
              <w:rPr>
                <w:rFonts w:ascii="Aptos" w:hAnsi="Aptos"/>
                <w:b w:val="0"/>
                <w:sz w:val="17"/>
              </w:rPr>
              <w:t>Circularity</w:t>
            </w:r>
          </w:p>
        </w:tc>
        <w:tc>
          <w:tcPr>
            <w:tcW w:type="dxa" w:w="2880"/>
            <w:vAlign w:val="center"/>
          </w:tcPr>
          <w:p>
            <w:r/>
            <w:r>
              <w:rPr>
                <w:rFonts w:ascii="Aptos" w:hAnsi="Aptos"/>
                <w:b w:val="0"/>
                <w:sz w:val="17"/>
              </w:rPr>
              <w:t>Geography × Indicator × Year</w:t>
            </w:r>
          </w:p>
        </w:tc>
        <w:tc>
          <w:tcPr>
            <w:tcW w:type="dxa" w:w="3888"/>
            <w:vAlign w:val="center"/>
          </w:tcPr>
          <w:p>
            <w:r/>
            <w:r>
              <w:rPr>
                <w:rFonts w:ascii="Aptos" w:hAnsi="Aptos"/>
                <w:b w:val="0"/>
                <w:sz w:val="17"/>
              </w:rPr>
              <w:t>indicator, geography, value, unit, year</w:t>
            </w:r>
          </w:p>
        </w:tc>
        <w:tc>
          <w:tcPr>
            <w:tcW w:type="dxa" w:w="2592"/>
            <w:vAlign w:val="center"/>
          </w:tcPr>
          <w:p>
            <w:r/>
            <w:r>
              <w:rPr>
                <w:rFonts w:ascii="Aptos" w:hAnsi="Aptos"/>
                <w:b w:val="0"/>
                <w:sz w:val="17"/>
              </w:rPr>
              <w:t>Waste, collection, reuse and environmental context</w:t>
            </w:r>
          </w:p>
        </w:tc>
      </w:tr>
      <w:tr>
        <w:tc>
          <w:tcPr>
            <w:tcW w:type="dxa" w:w="1584"/>
            <w:vAlign w:val="center"/>
          </w:tcPr>
          <w:p>
            <w:r/>
            <w:r>
              <w:rPr>
                <w:rFonts w:ascii="Aptos" w:hAnsi="Aptos"/>
                <w:b w:val="0"/>
                <w:sz w:val="17"/>
              </w:rPr>
              <w:t>Raw material</w:t>
            </w:r>
          </w:p>
        </w:tc>
        <w:tc>
          <w:tcPr>
            <w:tcW w:type="dxa" w:w="2880"/>
            <w:vAlign w:val="center"/>
          </w:tcPr>
          <w:p>
            <w:r/>
            <w:r>
              <w:rPr>
                <w:rFonts w:ascii="Aptos" w:hAnsi="Aptos"/>
                <w:b w:val="0"/>
                <w:sz w:val="17"/>
              </w:rPr>
              <w:t>Country/World × Commodity × Period</w:t>
            </w:r>
          </w:p>
        </w:tc>
        <w:tc>
          <w:tcPr>
            <w:tcW w:type="dxa" w:w="3888"/>
            <w:vAlign w:val="center"/>
          </w:tcPr>
          <w:p>
            <w:r/>
            <w:r>
              <w:rPr>
                <w:rFonts w:ascii="Aptos" w:hAnsi="Aptos"/>
                <w:b w:val="0"/>
                <w:sz w:val="17"/>
              </w:rPr>
              <w:t>commodity, production, trade, price/indicator, period</w:t>
            </w:r>
          </w:p>
        </w:tc>
        <w:tc>
          <w:tcPr>
            <w:tcW w:type="dxa" w:w="2592"/>
            <w:vAlign w:val="center"/>
          </w:tcPr>
          <w:p>
            <w:r/>
            <w:r>
              <w:rPr>
                <w:rFonts w:ascii="Aptos" w:hAnsi="Aptos"/>
                <w:b w:val="0"/>
                <w:sz w:val="17"/>
              </w:rPr>
              <w:t>Cotton/material supply exposure</w:t>
            </w:r>
          </w:p>
        </w:tc>
      </w:tr>
    </w:tbl>
    <w:p>
      <w:pPr>
        <w:spacing w:after="20"/>
      </w:pPr>
    </w:p>
    <w:p>
      <w:pPr>
        <w:pStyle w:val="Heading1"/>
      </w:pPr>
      <w:r>
        <w:t>3. Public Data Sources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EDEDED"/>
          </w:tcPr>
          <w:p>
            <w:r/>
            <w:r>
              <w:rPr>
                <w:rFonts w:ascii="Aptos" w:hAnsi="Aptos"/>
                <w:b/>
                <w:sz w:val="16"/>
              </w:rPr>
              <w:t>Source</w:t>
            </w:r>
          </w:p>
        </w:tc>
        <w:tc>
          <w:tcPr>
            <w:tcW w:type="dxa" w:w="3240"/>
            <w:vAlign w:val="center"/>
            <w:shd w:fill="EDEDED"/>
          </w:tcPr>
          <w:p>
            <w:r/>
            <w:r>
              <w:rPr>
                <w:rFonts w:ascii="Aptos" w:hAnsi="Aptos"/>
                <w:b/>
                <w:sz w:val="16"/>
              </w:rPr>
              <w:t>Data provided</w:t>
            </w:r>
          </w:p>
        </w:tc>
        <w:tc>
          <w:tcPr>
            <w:tcW w:type="dxa" w:w="2016"/>
            <w:vAlign w:val="center"/>
            <w:shd w:fill="EDEDED"/>
          </w:tcPr>
          <w:p>
            <w:r/>
            <w:r>
              <w:rPr>
                <w:rFonts w:ascii="Aptos" w:hAnsi="Aptos"/>
                <w:b/>
                <w:sz w:val="16"/>
              </w:rPr>
              <w:t>Collection method</w:t>
            </w:r>
          </w:p>
        </w:tc>
        <w:tc>
          <w:tcPr>
            <w:tcW w:type="dxa" w:w="2232"/>
            <w:vAlign w:val="center"/>
            <w:shd w:fill="EDEDED"/>
          </w:tcPr>
          <w:p>
            <w:r/>
            <w:r>
              <w:rPr>
                <w:rFonts w:ascii="Aptos" w:hAnsi="Aptos"/>
                <w:b/>
                <w:sz w:val="16"/>
              </w:rPr>
              <w:t>Potential use</w:t>
            </w:r>
          </w:p>
        </w:tc>
        <w:tc>
          <w:tcPr>
            <w:tcW w:type="dxa" w:w="1800"/>
            <w:vAlign w:val="center"/>
            <w:shd w:fill="EDEDED"/>
          </w:tcPr>
          <w:p>
            <w:r/>
            <w:r>
              <w:rPr>
                <w:rFonts w:ascii="Aptos" w:hAnsi="Aptos"/>
                <w:b/>
                <w:sz w:val="16"/>
              </w:rPr>
              <w:t>Key preprocessing risk</w:t>
            </w:r>
          </w:p>
        </w:tc>
      </w:tr>
      <w:tr>
        <w:tc>
          <w:tcPr>
            <w:tcW w:type="dxa" w:w="1656"/>
            <w:vAlign w:val="center"/>
          </w:tcPr>
          <w:p>
            <w:r/>
            <w:r>
              <w:rPr>
                <w:rFonts w:ascii="Aptos" w:hAnsi="Aptos"/>
                <w:b w:val="0"/>
                <w:sz w:val="16"/>
              </w:rPr>
              <w:t>UN Comtrade</w:t>
            </w:r>
          </w:p>
        </w:tc>
        <w:tc>
          <w:tcPr>
            <w:tcW w:type="dxa" w:w="3240"/>
            <w:vAlign w:val="center"/>
          </w:tcPr>
          <w:p>
            <w:r/>
            <w:r>
              <w:rPr>
                <w:rFonts w:ascii="Aptos" w:hAnsi="Aptos"/>
                <w:b w:val="0"/>
                <w:sz w:val="16"/>
              </w:rPr>
              <w:t>Bilateral merchandise trade by reporter, partner and commodity; value and quantity fields where available.</w:t>
            </w:r>
          </w:p>
        </w:tc>
        <w:tc>
          <w:tcPr>
            <w:tcW w:type="dxa" w:w="2016"/>
            <w:vAlign w:val="center"/>
          </w:tcPr>
          <w:p>
            <w:r/>
            <w:r>
              <w:rPr>
                <w:rFonts w:ascii="Aptos" w:hAnsi="Aptos"/>
                <w:b w:val="0"/>
                <w:sz w:val="16"/>
              </w:rPr>
              <w:t>API/programmatic query preferred; manual download as fallback.</w:t>
            </w:r>
          </w:p>
        </w:tc>
        <w:tc>
          <w:tcPr>
            <w:tcW w:type="dxa" w:w="2232"/>
            <w:vAlign w:val="center"/>
          </w:tcPr>
          <w:p>
            <w:r/>
            <w:r>
              <w:rPr>
                <w:rFonts w:ascii="Aptos" w:hAnsi="Aptos"/>
                <w:b w:val="0"/>
                <w:sz w:val="16"/>
              </w:rPr>
              <w:t>Trade growth, product mix, supplier/customer concentration.</w:t>
            </w:r>
          </w:p>
        </w:tc>
        <w:tc>
          <w:tcPr>
            <w:tcW w:type="dxa" w:w="1800"/>
            <w:vAlign w:val="center"/>
          </w:tcPr>
          <w:p>
            <w:r/>
            <w:r>
              <w:rPr>
                <w:rFonts w:ascii="Aptos" w:hAnsi="Aptos"/>
                <w:b w:val="0"/>
                <w:sz w:val="16"/>
              </w:rPr>
              <w:t>HS revisions, missing reporters, valuation differences and mirror-trade discrepancies.</w:t>
            </w:r>
          </w:p>
        </w:tc>
      </w:tr>
      <w:tr>
        <w:tc>
          <w:tcPr>
            <w:tcW w:type="dxa" w:w="1656"/>
            <w:vAlign w:val="center"/>
          </w:tcPr>
          <w:p>
            <w:r/>
            <w:r>
              <w:rPr>
                <w:rFonts w:ascii="Aptos" w:hAnsi="Aptos"/>
                <w:b w:val="0"/>
                <w:sz w:val="16"/>
              </w:rPr>
              <w:t>World Bank WITS</w:t>
            </w:r>
          </w:p>
        </w:tc>
        <w:tc>
          <w:tcPr>
            <w:tcW w:type="dxa" w:w="3240"/>
            <w:vAlign w:val="center"/>
          </w:tcPr>
          <w:p>
            <w:r/>
            <w:r>
              <w:rPr>
                <w:rFonts w:ascii="Aptos" w:hAnsi="Aptos"/>
                <w:b w:val="0"/>
                <w:sz w:val="16"/>
              </w:rPr>
              <w:t>Trade, tariff, non-tariff and development indicators; analytical indicators such as market concentration are available.</w:t>
            </w:r>
          </w:p>
        </w:tc>
        <w:tc>
          <w:tcPr>
            <w:tcW w:type="dxa" w:w="2016"/>
            <w:vAlign w:val="center"/>
          </w:tcPr>
          <w:p>
            <w:r/>
            <w:r>
              <w:rPr>
                <w:rFonts w:ascii="Aptos" w:hAnsi="Aptos"/>
                <w:b w:val="0"/>
                <w:sz w:val="16"/>
              </w:rPr>
              <w:t>REST API or targeted downloads.</w:t>
            </w:r>
          </w:p>
        </w:tc>
        <w:tc>
          <w:tcPr>
            <w:tcW w:type="dxa" w:w="2232"/>
            <w:vAlign w:val="center"/>
          </w:tcPr>
          <w:p>
            <w:r/>
            <w:r>
              <w:rPr>
                <w:rFonts w:ascii="Aptos" w:hAnsi="Aptos"/>
                <w:b w:val="0"/>
                <w:sz w:val="16"/>
              </w:rPr>
              <w:t>Market access, tariff exposure, competitiveness and partner analysis.</w:t>
            </w:r>
          </w:p>
        </w:tc>
        <w:tc>
          <w:tcPr>
            <w:tcW w:type="dxa" w:w="1800"/>
            <w:vAlign w:val="center"/>
          </w:tcPr>
          <w:p>
            <w:r/>
            <w:r>
              <w:rPr>
                <w:rFonts w:ascii="Aptos" w:hAnsi="Aptos"/>
                <w:b w:val="0"/>
                <w:sz w:val="16"/>
              </w:rPr>
              <w:t>API query limits; classification/version differences; some datasets have different access rules.</w:t>
            </w:r>
          </w:p>
        </w:tc>
      </w:tr>
      <w:tr>
        <w:tc>
          <w:tcPr>
            <w:tcW w:type="dxa" w:w="1656"/>
            <w:vAlign w:val="center"/>
          </w:tcPr>
          <w:p>
            <w:r/>
            <w:r>
              <w:rPr>
                <w:rFonts w:ascii="Aptos" w:hAnsi="Aptos"/>
                <w:b w:val="0"/>
                <w:sz w:val="16"/>
              </w:rPr>
              <w:t>WTO Statistics</w:t>
            </w:r>
          </w:p>
        </w:tc>
        <w:tc>
          <w:tcPr>
            <w:tcW w:type="dxa" w:w="3240"/>
            <w:vAlign w:val="center"/>
          </w:tcPr>
          <w:p>
            <w:r/>
            <w:r>
              <w:rPr>
                <w:rFonts w:ascii="Aptos" w:hAnsi="Aptos"/>
                <w:b w:val="0"/>
                <w:sz w:val="16"/>
              </w:rPr>
              <w:t>Merchandise trade data and aggregate/short-term trade indicators.</w:t>
            </w:r>
          </w:p>
        </w:tc>
        <w:tc>
          <w:tcPr>
            <w:tcW w:type="dxa" w:w="2016"/>
            <w:vAlign w:val="center"/>
          </w:tcPr>
          <w:p>
            <w:r/>
            <w:r>
              <w:rPr>
                <w:rFonts w:ascii="Aptos" w:hAnsi="Aptos"/>
                <w:b w:val="0"/>
                <w:sz w:val="16"/>
              </w:rPr>
              <w:t>Online database, downloadable data and programmatic access where available.</w:t>
            </w:r>
          </w:p>
        </w:tc>
        <w:tc>
          <w:tcPr>
            <w:tcW w:type="dxa" w:w="2232"/>
            <w:vAlign w:val="center"/>
          </w:tcPr>
          <w:p>
            <w:r/>
            <w:r>
              <w:rPr>
                <w:rFonts w:ascii="Aptos" w:hAnsi="Aptos"/>
                <w:b w:val="0"/>
                <w:sz w:val="16"/>
              </w:rPr>
              <w:t>Macro validation, trade trend benchmarking and recent movement.</w:t>
            </w:r>
          </w:p>
        </w:tc>
        <w:tc>
          <w:tcPr>
            <w:tcW w:type="dxa" w:w="1800"/>
            <w:vAlign w:val="center"/>
          </w:tcPr>
          <w:p>
            <w:r/>
            <w:r>
              <w:rPr>
                <w:rFonts w:ascii="Aptos" w:hAnsi="Aptos"/>
                <w:b w:val="0"/>
                <w:sz w:val="16"/>
              </w:rPr>
              <w:t>Aggregation can differ from detailed HS-level data; revisions must be tracked.</w:t>
            </w:r>
          </w:p>
        </w:tc>
      </w:tr>
      <w:tr>
        <w:tc>
          <w:tcPr>
            <w:tcW w:type="dxa" w:w="1656"/>
            <w:vAlign w:val="center"/>
          </w:tcPr>
          <w:p>
            <w:r/>
            <w:r>
              <w:rPr>
                <w:rFonts w:ascii="Aptos" w:hAnsi="Aptos"/>
                <w:b w:val="0"/>
                <w:sz w:val="16"/>
              </w:rPr>
              <w:t>Eurostat PRODCOM</w:t>
            </w:r>
          </w:p>
        </w:tc>
        <w:tc>
          <w:tcPr>
            <w:tcW w:type="dxa" w:w="3240"/>
            <w:vAlign w:val="center"/>
          </w:tcPr>
          <w:p>
            <w:r/>
            <w:r>
              <w:rPr>
                <w:rFonts w:ascii="Aptos" w:hAnsi="Aptos"/>
                <w:b w:val="0"/>
                <w:sz w:val="16"/>
              </w:rPr>
              <w:t>EU industrial production by manufactured product, including product-level production measures.</w:t>
            </w:r>
          </w:p>
        </w:tc>
        <w:tc>
          <w:tcPr>
            <w:tcW w:type="dxa" w:w="2016"/>
            <w:vAlign w:val="center"/>
          </w:tcPr>
          <w:p>
            <w:r/>
            <w:r>
              <w:rPr>
                <w:rFonts w:ascii="Aptos" w:hAnsi="Aptos"/>
                <w:b w:val="0"/>
                <w:sz w:val="16"/>
              </w:rPr>
              <w:t>Eurostat API/download; PRODCOM uses a dedicated Comext/API route for DS-prefixed datasets.</w:t>
            </w:r>
          </w:p>
        </w:tc>
        <w:tc>
          <w:tcPr>
            <w:tcW w:type="dxa" w:w="2232"/>
            <w:vAlign w:val="center"/>
          </w:tcPr>
          <w:p>
            <w:r/>
            <w:r>
              <w:rPr>
                <w:rFonts w:ascii="Aptos" w:hAnsi="Aptos"/>
                <w:b w:val="0"/>
                <w:sz w:val="16"/>
              </w:rPr>
              <w:t>EU production trends and product-level manufacturing context.</w:t>
            </w:r>
          </w:p>
        </w:tc>
        <w:tc>
          <w:tcPr>
            <w:tcW w:type="dxa" w:w="1800"/>
            <w:vAlign w:val="center"/>
          </w:tcPr>
          <w:p>
            <w:r/>
            <w:r>
              <w:rPr>
                <w:rFonts w:ascii="Aptos" w:hAnsi="Aptos"/>
                <w:b w:val="0"/>
                <w:sz w:val="16"/>
              </w:rPr>
              <w:t>EU-focused; annual/structural differences; product classification mapping required.</w:t>
            </w:r>
          </w:p>
        </w:tc>
      </w:tr>
      <w:tr>
        <w:tc>
          <w:tcPr>
            <w:tcW w:type="dxa" w:w="1656"/>
            <w:vAlign w:val="center"/>
          </w:tcPr>
          <w:p>
            <w:r/>
            <w:r>
              <w:rPr>
                <w:rFonts w:ascii="Aptos" w:hAnsi="Aptos"/>
                <w:b w:val="0"/>
                <w:sz w:val="16"/>
              </w:rPr>
              <w:t>ILOSTAT</w:t>
            </w:r>
          </w:p>
        </w:tc>
        <w:tc>
          <w:tcPr>
            <w:tcW w:type="dxa" w:w="3240"/>
            <w:vAlign w:val="center"/>
          </w:tcPr>
          <w:p>
            <w:r/>
            <w:r>
              <w:rPr>
                <w:rFonts w:ascii="Aptos" w:hAnsi="Aptos"/>
                <w:b w:val="0"/>
                <w:sz w:val="16"/>
              </w:rPr>
              <w:t>Employment and labour indicators by sector/country, with metadata describing concepts and definitions.</w:t>
            </w:r>
          </w:p>
        </w:tc>
        <w:tc>
          <w:tcPr>
            <w:tcW w:type="dxa" w:w="2016"/>
            <w:vAlign w:val="center"/>
          </w:tcPr>
          <w:p>
            <w:r/>
            <w:r>
              <w:rPr>
                <w:rFonts w:ascii="Aptos" w:hAnsi="Aptos"/>
                <w:b w:val="0"/>
                <w:sz w:val="16"/>
              </w:rPr>
              <w:t>Bulk download/API where available; manual download as fallback.</w:t>
            </w:r>
          </w:p>
        </w:tc>
        <w:tc>
          <w:tcPr>
            <w:tcW w:type="dxa" w:w="2232"/>
            <w:vAlign w:val="center"/>
          </w:tcPr>
          <w:p>
            <w:r/>
            <w:r>
              <w:rPr>
                <w:rFonts w:ascii="Aptos" w:hAnsi="Aptos"/>
                <w:b w:val="0"/>
                <w:sz w:val="16"/>
              </w:rPr>
              <w:t>Workforce size, labour structure and productivity context.</w:t>
            </w:r>
          </w:p>
        </w:tc>
        <w:tc>
          <w:tcPr>
            <w:tcW w:type="dxa" w:w="1800"/>
            <w:vAlign w:val="center"/>
          </w:tcPr>
          <w:p>
            <w:r/>
            <w:r>
              <w:rPr>
                <w:rFonts w:ascii="Aptos" w:hAnsi="Aptos"/>
                <w:b w:val="0"/>
                <w:sz w:val="16"/>
              </w:rPr>
              <w:t>Survey coverage, informal employment and sector definitions vary by country.</w:t>
            </w:r>
          </w:p>
        </w:tc>
      </w:tr>
      <w:tr>
        <w:tc>
          <w:tcPr>
            <w:tcW w:type="dxa" w:w="1656"/>
            <w:vAlign w:val="center"/>
          </w:tcPr>
          <w:p>
            <w:r/>
            <w:r>
              <w:rPr>
                <w:rFonts w:ascii="Aptos" w:hAnsi="Aptos"/>
                <w:b w:val="0"/>
                <w:sz w:val="16"/>
              </w:rPr>
              <w:t>FAOSTAT</w:t>
            </w:r>
          </w:p>
        </w:tc>
        <w:tc>
          <w:tcPr>
            <w:tcW w:type="dxa" w:w="3240"/>
            <w:vAlign w:val="center"/>
          </w:tcPr>
          <w:p>
            <w:r/>
            <w:r>
              <w:rPr>
                <w:rFonts w:ascii="Aptos" w:hAnsi="Aptos"/>
                <w:b w:val="0"/>
                <w:sz w:val="16"/>
              </w:rPr>
              <w:t>Agricultural and commodity statistics, including cotton-related production/trade indicators.</w:t>
            </w:r>
          </w:p>
        </w:tc>
        <w:tc>
          <w:tcPr>
            <w:tcW w:type="dxa" w:w="2016"/>
            <w:vAlign w:val="center"/>
          </w:tcPr>
          <w:p>
            <w:r/>
            <w:r>
              <w:rPr>
                <w:rFonts w:ascii="Aptos" w:hAnsi="Aptos"/>
                <w:b w:val="0"/>
                <w:sz w:val="16"/>
              </w:rPr>
              <w:t>FAOSTAT bulk download/API/manual download.</w:t>
            </w:r>
          </w:p>
        </w:tc>
        <w:tc>
          <w:tcPr>
            <w:tcW w:type="dxa" w:w="2232"/>
            <w:vAlign w:val="center"/>
          </w:tcPr>
          <w:p>
            <w:r/>
            <w:r>
              <w:rPr>
                <w:rFonts w:ascii="Aptos" w:hAnsi="Aptos"/>
                <w:b w:val="0"/>
                <w:sz w:val="16"/>
              </w:rPr>
              <w:t>Upstream material supply and cotton-market context.</w:t>
            </w:r>
          </w:p>
        </w:tc>
        <w:tc>
          <w:tcPr>
            <w:tcW w:type="dxa" w:w="1800"/>
            <w:vAlign w:val="center"/>
          </w:tcPr>
          <w:p>
            <w:r/>
            <w:r>
              <w:rPr>
                <w:rFonts w:ascii="Aptos" w:hAnsi="Aptos"/>
                <w:b w:val="0"/>
                <w:sz w:val="16"/>
              </w:rPr>
              <w:t>Agricultural years and textile periods may differ; estimates/projections must be labelled.</w:t>
            </w:r>
          </w:p>
        </w:tc>
      </w:tr>
      <w:tr>
        <w:tc>
          <w:tcPr>
            <w:tcW w:type="dxa" w:w="1656"/>
            <w:vAlign w:val="center"/>
          </w:tcPr>
          <w:p>
            <w:r/>
            <w:r>
              <w:rPr>
                <w:rFonts w:ascii="Aptos" w:hAnsi="Aptos"/>
                <w:b w:val="0"/>
                <w:sz w:val="16"/>
              </w:rPr>
              <w:t>EEA Circularity Metrics Lab</w:t>
            </w:r>
          </w:p>
        </w:tc>
        <w:tc>
          <w:tcPr>
            <w:tcW w:type="dxa" w:w="3240"/>
            <w:vAlign w:val="center"/>
          </w:tcPr>
          <w:p>
            <w:r/>
            <w:r>
              <w:rPr>
                <w:rFonts w:ascii="Aptos" w:hAnsi="Aptos"/>
                <w:b w:val="0"/>
                <w:sz w:val="16"/>
              </w:rPr>
              <w:t>Textile consumption, waste, collection, reuse, treatment and resource/environmental indicators.</w:t>
            </w:r>
          </w:p>
        </w:tc>
        <w:tc>
          <w:tcPr>
            <w:tcW w:type="dxa" w:w="2016"/>
            <w:vAlign w:val="center"/>
          </w:tcPr>
          <w:p>
            <w:r/>
            <w:r>
              <w:rPr>
                <w:rFonts w:ascii="Aptos" w:hAnsi="Aptos"/>
                <w:b w:val="0"/>
                <w:sz w:val="16"/>
              </w:rPr>
              <w:t>Direct public download/page extraction; API only where officially supported.</w:t>
            </w:r>
          </w:p>
        </w:tc>
        <w:tc>
          <w:tcPr>
            <w:tcW w:type="dxa" w:w="2232"/>
            <w:vAlign w:val="center"/>
          </w:tcPr>
          <w:p>
            <w:r/>
            <w:r>
              <w:rPr>
                <w:rFonts w:ascii="Aptos" w:hAnsi="Aptos"/>
                <w:b w:val="0"/>
                <w:sz w:val="16"/>
              </w:rPr>
              <w:t>Circularity, waste-management and sustainability indicators.</w:t>
            </w:r>
          </w:p>
        </w:tc>
        <w:tc>
          <w:tcPr>
            <w:tcW w:type="dxa" w:w="1800"/>
            <w:vAlign w:val="center"/>
          </w:tcPr>
          <w:p>
            <w:r/>
            <w:r>
              <w:rPr>
                <w:rFonts w:ascii="Aptos" w:hAnsi="Aptos"/>
                <w:b w:val="0"/>
                <w:sz w:val="16"/>
              </w:rPr>
              <w:t>EU scope; methodological estimates; indicators have different scopes and years.</w:t>
            </w:r>
          </w:p>
        </w:tc>
      </w:tr>
    </w:tbl>
    <w:p>
      <w:pPr>
        <w:spacing w:after="20"/>
      </w:pPr>
    </w:p>
    <w:p>
      <w:pPr>
        <w:pStyle w:val="Heading1"/>
      </w:pPr>
      <w:r>
        <w:t>4. Collection Methodology</w:t>
      </w:r>
    </w:p>
    <w:p>
      <w:pPr>
        <w:pStyle w:val="Heading2"/>
      </w:pPr>
      <w:r>
        <w:t>4.1 Method selection rule</w:t>
      </w:r>
    </w:p>
    <w:p>
      <w:r>
        <w:t>The preferred method is the most reproducible official mechanism available. Use an API when the provider offers a stable documented API and the required dimensions can be queried. Use official bulk downloads for large datasets where API calls would be inefficient. Use manual downloading only when no practical programmatic route exists. Web scraping should be a last-resort method for public pages that do not expose structured data, and only after checking the site's terms, robots guidance and rate limits.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EDEDED"/>
          </w:tcPr>
          <w:p>
            <w:r/>
            <w:r>
              <w:rPr>
                <w:rFonts w:ascii="Aptos" w:hAnsi="Aptos"/>
                <w:b/>
                <w:sz w:val="17"/>
              </w:rPr>
              <w:t>Method</w:t>
            </w:r>
          </w:p>
        </w:tc>
        <w:tc>
          <w:tcPr>
            <w:tcW w:type="dxa" w:w="2880"/>
            <w:vAlign w:val="center"/>
            <w:shd w:fill="EDEDED"/>
          </w:tcPr>
          <w:p>
            <w:r/>
            <w:r>
              <w:rPr>
                <w:rFonts w:ascii="Aptos" w:hAnsi="Aptos"/>
                <w:b/>
                <w:sz w:val="17"/>
              </w:rPr>
              <w:t>When to use</w:t>
            </w:r>
          </w:p>
        </w:tc>
        <w:tc>
          <w:tcPr>
            <w:tcW w:type="dxa" w:w="3312"/>
            <w:vAlign w:val="center"/>
            <w:shd w:fill="EDEDED"/>
          </w:tcPr>
          <w:p>
            <w:r/>
            <w:r>
              <w:rPr>
                <w:rFonts w:ascii="Aptos" w:hAnsi="Aptos"/>
                <w:b/>
                <w:sz w:val="17"/>
              </w:rPr>
              <w:t>Advantages</w:t>
            </w:r>
          </w:p>
        </w:tc>
        <w:tc>
          <w:tcPr>
            <w:tcW w:type="dxa" w:w="3168"/>
            <w:vAlign w:val="center"/>
            <w:shd w:fill="EDEDED"/>
          </w:tcPr>
          <w:p>
            <w:r/>
            <w:r>
              <w:rPr>
                <w:rFonts w:ascii="Aptos" w:hAnsi="Aptos"/>
                <w:b/>
                <w:sz w:val="17"/>
              </w:rPr>
              <w:t>Risks/controls</w:t>
            </w:r>
          </w:p>
        </w:tc>
      </w:tr>
      <w:tr>
        <w:tc>
          <w:tcPr>
            <w:tcW w:type="dxa" w:w="1584"/>
            <w:vAlign w:val="center"/>
          </w:tcPr>
          <w:p>
            <w:r/>
            <w:r>
              <w:rPr>
                <w:rFonts w:ascii="Aptos" w:hAnsi="Aptos"/>
                <w:b w:val="0"/>
                <w:sz w:val="17"/>
              </w:rPr>
              <w:t>API</w:t>
            </w:r>
          </w:p>
        </w:tc>
        <w:tc>
          <w:tcPr>
            <w:tcW w:type="dxa" w:w="2880"/>
            <w:vAlign w:val="center"/>
          </w:tcPr>
          <w:p>
            <w:r/>
            <w:r>
              <w:rPr>
                <w:rFonts w:ascii="Aptos" w:hAnsi="Aptos"/>
                <w:b w:val="0"/>
                <w:sz w:val="17"/>
              </w:rPr>
              <w:t>Structured official data with documented endpoint.</w:t>
            </w:r>
          </w:p>
        </w:tc>
        <w:tc>
          <w:tcPr>
            <w:tcW w:type="dxa" w:w="3312"/>
            <w:vAlign w:val="center"/>
          </w:tcPr>
          <w:p>
            <w:r/>
            <w:r>
              <w:rPr>
                <w:rFonts w:ascii="Aptos" w:hAnsi="Aptos"/>
                <w:b w:val="0"/>
                <w:sz w:val="17"/>
              </w:rPr>
              <w:t>Repeatable, parameterized, scalable, easier to log.</w:t>
            </w:r>
          </w:p>
        </w:tc>
        <w:tc>
          <w:tcPr>
            <w:tcW w:type="dxa" w:w="3168"/>
            <w:vAlign w:val="center"/>
          </w:tcPr>
          <w:p>
            <w:r/>
            <w:r>
              <w:rPr>
                <w:rFonts w:ascii="Aptos" w:hAnsi="Aptos"/>
                <w:b w:val="0"/>
                <w:sz w:val="17"/>
              </w:rPr>
              <w:t>Rate limits, schema changes, query restrictions; cache responses and log parameters.</w:t>
            </w:r>
          </w:p>
        </w:tc>
      </w:tr>
      <w:tr>
        <w:tc>
          <w:tcPr>
            <w:tcW w:type="dxa" w:w="1584"/>
            <w:vAlign w:val="center"/>
          </w:tcPr>
          <w:p>
            <w:r/>
            <w:r>
              <w:rPr>
                <w:rFonts w:ascii="Aptos" w:hAnsi="Aptos"/>
                <w:b w:val="0"/>
                <w:sz w:val="17"/>
              </w:rPr>
              <w:t>Bulk download</w:t>
            </w:r>
          </w:p>
        </w:tc>
        <w:tc>
          <w:tcPr>
            <w:tcW w:type="dxa" w:w="2880"/>
            <w:vAlign w:val="center"/>
          </w:tcPr>
          <w:p>
            <w:r/>
            <w:r>
              <w:rPr>
                <w:rFonts w:ascii="Aptos" w:hAnsi="Aptos"/>
                <w:b w:val="0"/>
                <w:sz w:val="17"/>
              </w:rPr>
              <w:t>Large official datasets or scheduled releases.</w:t>
            </w:r>
          </w:p>
        </w:tc>
        <w:tc>
          <w:tcPr>
            <w:tcW w:type="dxa" w:w="3312"/>
            <w:vAlign w:val="center"/>
          </w:tcPr>
          <w:p>
            <w:r/>
            <w:r>
              <w:rPr>
                <w:rFonts w:ascii="Aptos" w:hAnsi="Aptos"/>
                <w:b w:val="0"/>
                <w:sz w:val="17"/>
              </w:rPr>
              <w:t>Efficient and stable for large volumes.</w:t>
            </w:r>
          </w:p>
        </w:tc>
        <w:tc>
          <w:tcPr>
            <w:tcW w:type="dxa" w:w="3168"/>
            <w:vAlign w:val="center"/>
          </w:tcPr>
          <w:p>
            <w:r/>
            <w:r>
              <w:rPr>
                <w:rFonts w:ascii="Aptos" w:hAnsi="Aptos"/>
                <w:b w:val="0"/>
                <w:sz w:val="17"/>
              </w:rPr>
              <w:t>Large files, revisions, version ambiguity; record file date/checksum.</w:t>
            </w:r>
          </w:p>
        </w:tc>
      </w:tr>
      <w:tr>
        <w:tc>
          <w:tcPr>
            <w:tcW w:type="dxa" w:w="1584"/>
            <w:vAlign w:val="center"/>
          </w:tcPr>
          <w:p>
            <w:r/>
            <w:r>
              <w:rPr>
                <w:rFonts w:ascii="Aptos" w:hAnsi="Aptos"/>
                <w:b w:val="0"/>
                <w:sz w:val="17"/>
              </w:rPr>
              <w:t>Manual download</w:t>
            </w:r>
          </w:p>
        </w:tc>
        <w:tc>
          <w:tcPr>
            <w:tcW w:type="dxa" w:w="2880"/>
            <w:vAlign w:val="center"/>
          </w:tcPr>
          <w:p>
            <w:r/>
            <w:r>
              <w:rPr>
                <w:rFonts w:ascii="Aptos" w:hAnsi="Aptos"/>
                <w:b w:val="0"/>
                <w:sz w:val="17"/>
              </w:rPr>
              <w:t>No suitable API or small one-off source.</w:t>
            </w:r>
          </w:p>
        </w:tc>
        <w:tc>
          <w:tcPr>
            <w:tcW w:type="dxa" w:w="3312"/>
            <w:vAlign w:val="center"/>
          </w:tcPr>
          <w:p>
            <w:r/>
            <w:r>
              <w:rPr>
                <w:rFonts w:ascii="Aptos" w:hAnsi="Aptos"/>
                <w:b w:val="0"/>
                <w:sz w:val="17"/>
              </w:rPr>
              <w:t>Simple and transparent for a pilot.</w:t>
            </w:r>
          </w:p>
        </w:tc>
        <w:tc>
          <w:tcPr>
            <w:tcW w:type="dxa" w:w="3168"/>
            <w:vAlign w:val="center"/>
          </w:tcPr>
          <w:p>
            <w:r/>
            <w:r>
              <w:rPr>
                <w:rFonts w:ascii="Aptos" w:hAnsi="Aptos"/>
                <w:b w:val="0"/>
                <w:sz w:val="17"/>
              </w:rPr>
              <w:t>Harder to reproduce; record exact URL, date and filters.</w:t>
            </w:r>
          </w:p>
        </w:tc>
      </w:tr>
      <w:tr>
        <w:tc>
          <w:tcPr>
            <w:tcW w:type="dxa" w:w="1584"/>
            <w:vAlign w:val="center"/>
          </w:tcPr>
          <w:p>
            <w:r/>
            <w:r>
              <w:rPr>
                <w:rFonts w:ascii="Aptos" w:hAnsi="Aptos"/>
                <w:b w:val="0"/>
                <w:sz w:val="17"/>
              </w:rPr>
              <w:t>Web scraping</w:t>
            </w:r>
          </w:p>
        </w:tc>
        <w:tc>
          <w:tcPr>
            <w:tcW w:type="dxa" w:w="2880"/>
            <w:vAlign w:val="center"/>
          </w:tcPr>
          <w:p>
            <w:r/>
            <w:r>
              <w:rPr>
                <w:rFonts w:ascii="Aptos" w:hAnsi="Aptos"/>
                <w:b w:val="0"/>
                <w:sz w:val="17"/>
              </w:rPr>
              <w:t>Only when structured public data are unavailable.</w:t>
            </w:r>
          </w:p>
        </w:tc>
        <w:tc>
          <w:tcPr>
            <w:tcW w:type="dxa" w:w="3312"/>
            <w:vAlign w:val="center"/>
          </w:tcPr>
          <w:p>
            <w:r/>
            <w:r>
              <w:rPr>
                <w:rFonts w:ascii="Aptos" w:hAnsi="Aptos"/>
                <w:b w:val="0"/>
                <w:sz w:val="17"/>
              </w:rPr>
              <w:t>Can capture tables/text not exposed through an API.</w:t>
            </w:r>
          </w:p>
        </w:tc>
        <w:tc>
          <w:tcPr>
            <w:tcW w:type="dxa" w:w="3168"/>
            <w:vAlign w:val="center"/>
          </w:tcPr>
          <w:p>
            <w:r/>
            <w:r>
              <w:rPr>
                <w:rFonts w:ascii="Aptos" w:hAnsi="Aptos"/>
                <w:b w:val="0"/>
                <w:sz w:val="17"/>
              </w:rPr>
              <w:t>Terms/robots issues, layout changes, legal/ethical concerns; throttle and store provenance.</w:t>
            </w:r>
          </w:p>
        </w:tc>
      </w:tr>
    </w:tbl>
    <w:p>
      <w:pPr>
        <w:spacing w:after="20"/>
      </w:pPr>
    </w:p>
    <w:p>
      <w:pPr>
        <w:pStyle w:val="Heading2"/>
      </w:pPr>
      <w:r>
        <w:t>4.2 Collection metadata to capture</w:t>
      </w:r>
    </w:p>
    <w:p>
      <w:pPr>
        <w:pStyle w:val="ListBullet"/>
      </w:pPr>
      <w:r>
        <w:t>source_name and publisher</w:t>
      </w:r>
    </w:p>
    <w:p>
      <w:pPr>
        <w:pStyle w:val="ListBullet"/>
      </w:pPr>
      <w:r>
        <w:t>dataset_name / dataset_code</w:t>
      </w:r>
    </w:p>
    <w:p>
      <w:pPr>
        <w:pStyle w:val="ListBullet"/>
      </w:pPr>
      <w:r>
        <w:t>official_url or API endpoint</w:t>
      </w:r>
    </w:p>
    <w:p>
      <w:pPr>
        <w:pStyle w:val="ListBullet"/>
      </w:pPr>
      <w:r>
        <w:t>query parameters or download filters</w:t>
      </w:r>
    </w:p>
    <w:p>
      <w:pPr>
        <w:pStyle w:val="ListBullet"/>
      </w:pPr>
      <w:r>
        <w:t>collection_timestamp</w:t>
      </w:r>
    </w:p>
    <w:p>
      <w:pPr>
        <w:pStyle w:val="ListBullet"/>
      </w:pPr>
      <w:r>
        <w:t>dataset release/version if provided</w:t>
      </w:r>
    </w:p>
    <w:p>
      <w:pPr>
        <w:pStyle w:val="ListBullet"/>
      </w:pPr>
      <w:r>
        <w:t>HTTP response status for API calls</w:t>
      </w:r>
    </w:p>
    <w:p>
      <w:pPr>
        <w:pStyle w:val="ListBullet"/>
      </w:pPr>
      <w:r>
        <w:t>file name, file size and optional checksum</w:t>
      </w:r>
    </w:p>
    <w:p>
      <w:pPr>
        <w:pStyle w:val="ListBullet"/>
      </w:pPr>
      <w:r>
        <w:t>source classification and unit definitions</w:t>
      </w:r>
    </w:p>
    <w:p>
      <w:pPr>
        <w:pStyle w:val="ListBullet"/>
      </w:pPr>
      <w:r>
        <w:t>transformation notes and known limitations</w:t>
      </w:r>
    </w:p>
    <w:p>
      <w:pPr>
        <w:pStyle w:val="Heading1"/>
      </w:pPr>
      <w:r>
        <w:t>5. Ethical and Responsible Data Collection</w:t>
      </w:r>
    </w:p>
    <w:p>
      <w:pPr>
        <w:pStyle w:val="ListBullet"/>
      </w:pPr>
      <w:r>
        <w:t>Prefer public, official and aggregated datasets over personal or sensitive data.</w:t>
      </w:r>
    </w:p>
    <w:p>
      <w:pPr>
        <w:pStyle w:val="ListBullet"/>
      </w:pPr>
      <w:r>
        <w:t>Respect terms of use, licensing conditions, robots guidance and published API limits.</w:t>
      </w:r>
    </w:p>
    <w:p>
      <w:pPr>
        <w:pStyle w:val="ListBullet"/>
      </w:pPr>
      <w:r>
        <w:t>Do not bypass authentication, paywalls, rate limits or technical access controls.</w:t>
      </w:r>
    </w:p>
    <w:p>
      <w:pPr>
        <w:pStyle w:val="ListBullet"/>
      </w:pPr>
      <w:r>
        <w:t>Use reasonable request rates and caching to avoid unnecessary server load.</w:t>
      </w:r>
    </w:p>
    <w:p>
      <w:pPr>
        <w:pStyle w:val="ListBullet"/>
      </w:pPr>
      <w:r>
        <w:t>Do not collect personal consumer information when aggregate reviews, survey statistics or public summaries are sufficient.</w:t>
      </w:r>
    </w:p>
    <w:p>
      <w:pPr>
        <w:pStyle w:val="ListBullet"/>
      </w:pPr>
      <w:r>
        <w:t>Preserve attribution and source links so derived results remain traceable.</w:t>
      </w:r>
    </w:p>
    <w:p>
      <w:pPr>
        <w:pStyle w:val="ListBullet"/>
      </w:pPr>
      <w:r>
        <w:t>Clearly label estimates, modelled values, projections and imputed values; never present them as observed facts.</w:t>
      </w:r>
    </w:p>
    <w:p>
      <w:pPr>
        <w:pStyle w:val="ListBullet"/>
      </w:pPr>
      <w:r>
        <w:t>If consumer feedback is collected from public websites, collect only fields necessary for the analysis and avoid storing usernames, emails or other unnecessary identifiers.</w:t>
      </w:r>
    </w:p>
    <w:p>
      <w:pPr>
        <w:pStyle w:val="Heading1"/>
      </w:pPr>
      <w:r>
        <w:t>6. End-to-End Preprocessing Workflow</w:t>
      </w:r>
    </w:p>
    <w:p>
      <w:r>
        <w:rPr>
          <w:b/>
          <w:sz w:val="21"/>
        </w:rPr>
        <w:t>DEFINE → COLLECT → FREEZE RAW → SCHEMA CHECK → PROFILE → STANDARDIZE → DEDUPLICATE → MISSING-VALUE TREATMENT → OUTLIER REVIEW → TRANSFORM → VALIDATE → JOIN → ANALYTICAL DATASET → DOCUMENT</w:t>
      </w:r>
    </w:p>
    <w:p>
      <w:r>
        <w:t>The workflow is intentionally sequential. A later stage should not silently modify an earlier stage's raw data. Every transformation should be reproducible and preferably implemented as code.</w:t>
      </w:r>
    </w:p>
    <w:p>
      <w:pPr>
        <w:pStyle w:val="Heading1"/>
      </w:pPr>
      <w:r>
        <w:t>7. Detailed Cleaning Strategy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080"/>
            <w:vAlign w:val="center"/>
            <w:shd w:fill="EDEDED"/>
          </w:tcPr>
          <w:p>
            <w:r/>
            <w:r>
              <w:rPr>
                <w:rFonts w:ascii="Aptos" w:hAnsi="Aptos"/>
                <w:b/>
                <w:sz w:val="15"/>
              </w:rPr>
              <w:t>Step</w:t>
            </w:r>
          </w:p>
        </w:tc>
        <w:tc>
          <w:tcPr>
            <w:tcW w:type="dxa" w:w="1944"/>
            <w:vAlign w:val="center"/>
            <w:shd w:fill="EDEDED"/>
          </w:tcPr>
          <w:p>
            <w:r/>
            <w:r>
              <w:rPr>
                <w:rFonts w:ascii="Aptos" w:hAnsi="Aptos"/>
                <w:b/>
                <w:sz w:val="15"/>
              </w:rPr>
              <w:t>Action</w:t>
            </w:r>
          </w:p>
        </w:tc>
        <w:tc>
          <w:tcPr>
            <w:tcW w:type="dxa" w:w="2880"/>
            <w:vAlign w:val="center"/>
            <w:shd w:fill="EDEDED"/>
          </w:tcPr>
          <w:p>
            <w:r/>
            <w:r>
              <w:rPr>
                <w:rFonts w:ascii="Aptos" w:hAnsi="Aptos"/>
                <w:b/>
                <w:sz w:val="15"/>
              </w:rPr>
              <w:t>Method</w:t>
            </w:r>
          </w:p>
        </w:tc>
        <w:tc>
          <w:tcPr>
            <w:tcW w:type="dxa" w:w="2880"/>
            <w:vAlign w:val="center"/>
            <w:shd w:fill="EDEDED"/>
          </w:tcPr>
          <w:p>
            <w:r/>
            <w:r>
              <w:rPr>
                <w:rFonts w:ascii="Aptos" w:hAnsi="Aptos"/>
                <w:b/>
                <w:sz w:val="15"/>
              </w:rPr>
              <w:t>Justification</w:t>
            </w:r>
          </w:p>
        </w:tc>
        <w:tc>
          <w:tcPr>
            <w:tcW w:type="dxa" w:w="1872"/>
            <w:vAlign w:val="center"/>
            <w:shd w:fill="EDEDED"/>
          </w:tcPr>
          <w:p>
            <w:r/>
            <w:r>
              <w:rPr>
                <w:rFonts w:ascii="Aptos" w:hAnsi="Aptos"/>
                <w:b/>
                <w:sz w:val="15"/>
              </w:rPr>
              <w:t>Output</w:t>
            </w:r>
          </w:p>
        </w:tc>
      </w:tr>
      <w:tr>
        <w:tc>
          <w:tcPr>
            <w:tcW w:type="dxa" w:w="1080"/>
            <w:vAlign w:val="center"/>
          </w:tcPr>
          <w:p>
            <w:r/>
            <w:r>
              <w:rPr>
                <w:rFonts w:ascii="Aptos" w:hAnsi="Aptos"/>
                <w:b w:val="0"/>
                <w:sz w:val="15"/>
              </w:rPr>
              <w:t>1. Schema validation</w:t>
            </w:r>
          </w:p>
        </w:tc>
        <w:tc>
          <w:tcPr>
            <w:tcW w:type="dxa" w:w="1944"/>
            <w:vAlign w:val="center"/>
          </w:tcPr>
          <w:p>
            <w:r/>
            <w:r>
              <w:rPr>
                <w:rFonts w:ascii="Aptos" w:hAnsi="Aptos"/>
                <w:b w:val="0"/>
                <w:sz w:val="15"/>
              </w:rPr>
              <w:t>Check required columns, types, expected categories and units.</w:t>
            </w:r>
          </w:p>
        </w:tc>
        <w:tc>
          <w:tcPr>
            <w:tcW w:type="dxa" w:w="2880"/>
            <w:vAlign w:val="center"/>
          </w:tcPr>
          <w:p>
            <w:r/>
            <w:r>
              <w:rPr>
                <w:rFonts w:ascii="Aptos" w:hAnsi="Aptos"/>
                <w:b w:val="0"/>
                <w:sz w:val="15"/>
              </w:rPr>
              <w:t>Automated assertions + data dictionary.</w:t>
            </w:r>
          </w:p>
        </w:tc>
        <w:tc>
          <w:tcPr>
            <w:tcW w:type="dxa" w:w="2880"/>
            <w:vAlign w:val="center"/>
          </w:tcPr>
          <w:p>
            <w:r/>
            <w:r>
              <w:rPr>
                <w:rFonts w:ascii="Aptos" w:hAnsi="Aptos"/>
                <w:b w:val="0"/>
                <w:sz w:val="15"/>
              </w:rPr>
              <w:t>Prevents downstream failures caused by source changes.</w:t>
            </w:r>
          </w:p>
        </w:tc>
        <w:tc>
          <w:tcPr>
            <w:tcW w:type="dxa" w:w="1872"/>
            <w:vAlign w:val="center"/>
          </w:tcPr>
          <w:p>
            <w:r/>
            <w:r>
              <w:rPr>
                <w:rFonts w:ascii="Aptos" w:hAnsi="Aptos"/>
                <w:b w:val="0"/>
                <w:sz w:val="15"/>
              </w:rPr>
              <w:t>Schema report</w:t>
            </w:r>
          </w:p>
        </w:tc>
      </w:tr>
      <w:tr>
        <w:tc>
          <w:tcPr>
            <w:tcW w:type="dxa" w:w="1080"/>
            <w:vAlign w:val="center"/>
          </w:tcPr>
          <w:p>
            <w:r/>
            <w:r>
              <w:rPr>
                <w:rFonts w:ascii="Aptos" w:hAnsi="Aptos"/>
                <w:b w:val="0"/>
                <w:sz w:val="15"/>
              </w:rPr>
              <w:t>2. Type conversion</w:t>
            </w:r>
          </w:p>
        </w:tc>
        <w:tc>
          <w:tcPr>
            <w:tcW w:type="dxa" w:w="1944"/>
            <w:vAlign w:val="center"/>
          </w:tcPr>
          <w:p>
            <w:r/>
            <w:r>
              <w:rPr>
                <w:rFonts w:ascii="Aptos" w:hAnsi="Aptos"/>
                <w:b w:val="0"/>
                <w:sz w:val="15"/>
              </w:rPr>
              <w:t>Parse dates, numeric fields and categorical columns.</w:t>
            </w:r>
          </w:p>
        </w:tc>
        <w:tc>
          <w:tcPr>
            <w:tcW w:type="dxa" w:w="2880"/>
            <w:vAlign w:val="center"/>
          </w:tcPr>
          <w:p>
            <w:r/>
            <w:r>
              <w:rPr>
                <w:rFonts w:ascii="Aptos" w:hAnsi="Aptos"/>
                <w:b w:val="0"/>
                <w:sz w:val="15"/>
              </w:rPr>
              <w:t>Explicit parsing; invalid values become NA and are flagged.</w:t>
            </w:r>
          </w:p>
        </w:tc>
        <w:tc>
          <w:tcPr>
            <w:tcW w:type="dxa" w:w="2880"/>
            <w:vAlign w:val="center"/>
          </w:tcPr>
          <w:p>
            <w:r/>
            <w:r>
              <w:rPr>
                <w:rFonts w:ascii="Aptos" w:hAnsi="Aptos"/>
                <w:b w:val="0"/>
                <w:sz w:val="15"/>
              </w:rPr>
              <w:t>Avoids silent string/numeric errors.</w:t>
            </w:r>
          </w:p>
        </w:tc>
        <w:tc>
          <w:tcPr>
            <w:tcW w:type="dxa" w:w="1872"/>
            <w:vAlign w:val="center"/>
          </w:tcPr>
          <w:p>
            <w:r/>
            <w:r>
              <w:rPr>
                <w:rFonts w:ascii="Aptos" w:hAnsi="Aptos"/>
                <w:b w:val="0"/>
                <w:sz w:val="15"/>
              </w:rPr>
              <w:t>Typed dataset</w:t>
            </w:r>
          </w:p>
        </w:tc>
      </w:tr>
      <w:tr>
        <w:tc>
          <w:tcPr>
            <w:tcW w:type="dxa" w:w="1080"/>
            <w:vAlign w:val="center"/>
          </w:tcPr>
          <w:p>
            <w:r/>
            <w:r>
              <w:rPr>
                <w:rFonts w:ascii="Aptos" w:hAnsi="Aptos"/>
                <w:b w:val="0"/>
                <w:sz w:val="15"/>
              </w:rPr>
              <w:t>3. Geography standardization</w:t>
            </w:r>
          </w:p>
        </w:tc>
        <w:tc>
          <w:tcPr>
            <w:tcW w:type="dxa" w:w="1944"/>
            <w:vAlign w:val="center"/>
          </w:tcPr>
          <w:p>
            <w:r/>
            <w:r>
              <w:rPr>
                <w:rFonts w:ascii="Aptos" w:hAnsi="Aptos"/>
                <w:b w:val="0"/>
                <w:sz w:val="15"/>
              </w:rPr>
              <w:t>Map source names to ISO-3 or another canonical geography key.</w:t>
            </w:r>
          </w:p>
        </w:tc>
        <w:tc>
          <w:tcPr>
            <w:tcW w:type="dxa" w:w="2880"/>
            <w:vAlign w:val="center"/>
          </w:tcPr>
          <w:p>
            <w:r/>
            <w:r>
              <w:rPr>
                <w:rFonts w:ascii="Aptos" w:hAnsi="Aptos"/>
                <w:b w:val="0"/>
                <w:sz w:val="15"/>
              </w:rPr>
              <w:t>Reference mapping table; retain original name.</w:t>
            </w:r>
          </w:p>
        </w:tc>
        <w:tc>
          <w:tcPr>
            <w:tcW w:type="dxa" w:w="2880"/>
            <w:vAlign w:val="center"/>
          </w:tcPr>
          <w:p>
            <w:r/>
            <w:r>
              <w:rPr>
                <w:rFonts w:ascii="Aptos" w:hAnsi="Aptos"/>
                <w:b w:val="0"/>
                <w:sz w:val="15"/>
              </w:rPr>
              <w:t>Enables safe joins across sources.</w:t>
            </w:r>
          </w:p>
        </w:tc>
        <w:tc>
          <w:tcPr>
            <w:tcW w:type="dxa" w:w="1872"/>
            <w:vAlign w:val="center"/>
          </w:tcPr>
          <w:p>
            <w:r/>
            <w:r>
              <w:rPr>
                <w:rFonts w:ascii="Aptos" w:hAnsi="Aptos"/>
                <w:b w:val="0"/>
                <w:sz w:val="15"/>
              </w:rPr>
              <w:t>country_iso3 + original_country</w:t>
            </w:r>
          </w:p>
        </w:tc>
      </w:tr>
      <w:tr>
        <w:tc>
          <w:tcPr>
            <w:tcW w:type="dxa" w:w="1080"/>
            <w:vAlign w:val="center"/>
          </w:tcPr>
          <w:p>
            <w:r/>
            <w:r>
              <w:rPr>
                <w:rFonts w:ascii="Aptos" w:hAnsi="Aptos"/>
                <w:b w:val="0"/>
                <w:sz w:val="15"/>
              </w:rPr>
              <w:t>4. Product standardization</w:t>
            </w:r>
          </w:p>
        </w:tc>
        <w:tc>
          <w:tcPr>
            <w:tcW w:type="dxa" w:w="1944"/>
            <w:vAlign w:val="center"/>
          </w:tcPr>
          <w:p>
            <w:r/>
            <w:r>
              <w:rPr>
                <w:rFonts w:ascii="Aptos" w:hAnsi="Aptos"/>
                <w:b w:val="0"/>
                <w:sz w:val="15"/>
              </w:rPr>
              <w:t>Retain source code and map to a stable analytical group.</w:t>
            </w:r>
          </w:p>
        </w:tc>
        <w:tc>
          <w:tcPr>
            <w:tcW w:type="dxa" w:w="2880"/>
            <w:vAlign w:val="center"/>
          </w:tcPr>
          <w:p>
            <w:r/>
            <w:r>
              <w:rPr>
                <w:rFonts w:ascii="Aptos" w:hAnsi="Aptos"/>
                <w:b w:val="0"/>
                <w:sz w:val="15"/>
              </w:rPr>
              <w:t>Versioned HS/PRODCOM mapping table.</w:t>
            </w:r>
          </w:p>
        </w:tc>
        <w:tc>
          <w:tcPr>
            <w:tcW w:type="dxa" w:w="2880"/>
            <w:vAlign w:val="center"/>
          </w:tcPr>
          <w:p>
            <w:r/>
            <w:r>
              <w:rPr>
                <w:rFonts w:ascii="Aptos" w:hAnsi="Aptos"/>
                <w:b w:val="0"/>
                <w:sz w:val="15"/>
              </w:rPr>
              <w:t>Prevents incorrect cross-classification joins.</w:t>
            </w:r>
          </w:p>
        </w:tc>
        <w:tc>
          <w:tcPr>
            <w:tcW w:type="dxa" w:w="1872"/>
            <w:vAlign w:val="center"/>
          </w:tcPr>
          <w:p>
            <w:r/>
            <w:r>
              <w:rPr>
                <w:rFonts w:ascii="Aptos" w:hAnsi="Aptos"/>
                <w:b w:val="0"/>
                <w:sz w:val="15"/>
              </w:rPr>
              <w:t>source_product + analysis_group</w:t>
            </w:r>
          </w:p>
        </w:tc>
      </w:tr>
      <w:tr>
        <w:tc>
          <w:tcPr>
            <w:tcW w:type="dxa" w:w="1080"/>
            <w:vAlign w:val="center"/>
          </w:tcPr>
          <w:p>
            <w:r/>
            <w:r>
              <w:rPr>
                <w:rFonts w:ascii="Aptos" w:hAnsi="Aptos"/>
                <w:b w:val="0"/>
                <w:sz w:val="15"/>
              </w:rPr>
              <w:t>5. Unit normalization</w:t>
            </w:r>
          </w:p>
        </w:tc>
        <w:tc>
          <w:tcPr>
            <w:tcW w:type="dxa" w:w="1944"/>
            <w:vAlign w:val="center"/>
          </w:tcPr>
          <w:p>
            <w:r/>
            <w:r>
              <w:rPr>
                <w:rFonts w:ascii="Aptos" w:hAnsi="Aptos"/>
                <w:b w:val="0"/>
                <w:sz w:val="15"/>
              </w:rPr>
              <w:t>Separate value, quantity, weight and index measures.</w:t>
            </w:r>
          </w:p>
        </w:tc>
        <w:tc>
          <w:tcPr>
            <w:tcW w:type="dxa" w:w="2880"/>
            <w:vAlign w:val="center"/>
          </w:tcPr>
          <w:p>
            <w:r/>
            <w:r>
              <w:rPr>
                <w:rFonts w:ascii="Aptos" w:hAnsi="Aptos"/>
                <w:b w:val="0"/>
                <w:sz w:val="15"/>
              </w:rPr>
              <w:t>Explicit conversion rules with source unit retained.</w:t>
            </w:r>
          </w:p>
        </w:tc>
        <w:tc>
          <w:tcPr>
            <w:tcW w:type="dxa" w:w="2880"/>
            <w:vAlign w:val="center"/>
          </w:tcPr>
          <w:p>
            <w:r/>
            <w:r>
              <w:rPr>
                <w:rFonts w:ascii="Aptos" w:hAnsi="Aptos"/>
                <w:b w:val="0"/>
                <w:sz w:val="15"/>
              </w:rPr>
              <w:t>Prevents incomparable measures from being mixed.</w:t>
            </w:r>
          </w:p>
        </w:tc>
        <w:tc>
          <w:tcPr>
            <w:tcW w:type="dxa" w:w="1872"/>
            <w:vAlign w:val="center"/>
          </w:tcPr>
          <w:p>
            <w:r/>
            <w:r>
              <w:rPr>
                <w:rFonts w:ascii="Aptos" w:hAnsi="Aptos"/>
                <w:b w:val="0"/>
                <w:sz w:val="15"/>
              </w:rPr>
              <w:t>standard_unit + original_unit</w:t>
            </w:r>
          </w:p>
        </w:tc>
      </w:tr>
      <w:tr>
        <w:tc>
          <w:tcPr>
            <w:tcW w:type="dxa" w:w="1080"/>
            <w:vAlign w:val="center"/>
          </w:tcPr>
          <w:p>
            <w:r/>
            <w:r>
              <w:rPr>
                <w:rFonts w:ascii="Aptos" w:hAnsi="Aptos"/>
                <w:b w:val="0"/>
                <w:sz w:val="15"/>
              </w:rPr>
              <w:t>6. Duplicate handling</w:t>
            </w:r>
          </w:p>
        </w:tc>
        <w:tc>
          <w:tcPr>
            <w:tcW w:type="dxa" w:w="1944"/>
            <w:vAlign w:val="center"/>
          </w:tcPr>
          <w:p>
            <w:r/>
            <w:r>
              <w:rPr>
                <w:rFonts w:ascii="Aptos" w:hAnsi="Aptos"/>
                <w:b w:val="0"/>
                <w:sz w:val="15"/>
              </w:rPr>
              <w:t>Identify duplicate business keys.</w:t>
            </w:r>
          </w:p>
        </w:tc>
        <w:tc>
          <w:tcPr>
            <w:tcW w:type="dxa" w:w="2880"/>
            <w:vAlign w:val="center"/>
          </w:tcPr>
          <w:p>
            <w:r/>
            <w:r>
              <w:rPr>
                <w:rFonts w:ascii="Aptos" w:hAnsi="Aptos"/>
                <w:b w:val="0"/>
                <w:sz w:val="15"/>
              </w:rPr>
              <w:t>Exact duplicate removal only when provenance is identical; otherwise investigate.</w:t>
            </w:r>
          </w:p>
        </w:tc>
        <w:tc>
          <w:tcPr>
            <w:tcW w:type="dxa" w:w="2880"/>
            <w:vAlign w:val="center"/>
          </w:tcPr>
          <w:p>
            <w:r/>
            <w:r>
              <w:rPr>
                <w:rFonts w:ascii="Aptos" w:hAnsi="Aptos"/>
                <w:b w:val="0"/>
                <w:sz w:val="15"/>
              </w:rPr>
              <w:t>Avoids double counting without deleting legitimate records.</w:t>
            </w:r>
          </w:p>
        </w:tc>
        <w:tc>
          <w:tcPr>
            <w:tcW w:type="dxa" w:w="1872"/>
            <w:vAlign w:val="center"/>
          </w:tcPr>
          <w:p>
            <w:r/>
            <w:r>
              <w:rPr>
                <w:rFonts w:ascii="Aptos" w:hAnsi="Aptos"/>
                <w:b w:val="0"/>
                <w:sz w:val="15"/>
              </w:rPr>
              <w:t>duplicate_flag</w:t>
            </w:r>
          </w:p>
        </w:tc>
      </w:tr>
      <w:tr>
        <w:tc>
          <w:tcPr>
            <w:tcW w:type="dxa" w:w="1080"/>
            <w:vAlign w:val="center"/>
          </w:tcPr>
          <w:p>
            <w:r/>
            <w:r>
              <w:rPr>
                <w:rFonts w:ascii="Aptos" w:hAnsi="Aptos"/>
                <w:b w:val="0"/>
                <w:sz w:val="15"/>
              </w:rPr>
              <w:t>7. Missing values</w:t>
            </w:r>
          </w:p>
        </w:tc>
        <w:tc>
          <w:tcPr>
            <w:tcW w:type="dxa" w:w="1944"/>
            <w:vAlign w:val="center"/>
          </w:tcPr>
          <w:p>
            <w:r/>
            <w:r>
              <w:rPr>
                <w:rFonts w:ascii="Aptos" w:hAnsi="Aptos"/>
                <w:b w:val="0"/>
                <w:sz w:val="15"/>
              </w:rPr>
              <w:t>Classify missingness before filling.</w:t>
            </w:r>
          </w:p>
        </w:tc>
        <w:tc>
          <w:tcPr>
            <w:tcW w:type="dxa" w:w="2880"/>
            <w:vAlign w:val="center"/>
          </w:tcPr>
          <w:p>
            <w:r/>
            <w:r>
              <w:rPr>
                <w:rFonts w:ascii="Aptos" w:hAnsi="Aptos"/>
                <w:b w:val="0"/>
                <w:sz w:val="15"/>
              </w:rPr>
              <w:t>MCAR/MAR/MNAR reasoning; source-specific rules.</w:t>
            </w:r>
          </w:p>
        </w:tc>
        <w:tc>
          <w:tcPr>
            <w:tcW w:type="dxa" w:w="2880"/>
            <w:vAlign w:val="center"/>
          </w:tcPr>
          <w:p>
            <w:r/>
            <w:r>
              <w:rPr>
                <w:rFonts w:ascii="Aptos" w:hAnsi="Aptos"/>
                <w:b w:val="0"/>
                <w:sz w:val="15"/>
              </w:rPr>
              <w:t>Missingness itself may carry information.</w:t>
            </w:r>
          </w:p>
        </w:tc>
        <w:tc>
          <w:tcPr>
            <w:tcW w:type="dxa" w:w="1872"/>
            <w:vAlign w:val="center"/>
          </w:tcPr>
          <w:p>
            <w:r/>
            <w:r>
              <w:rPr>
                <w:rFonts w:ascii="Aptos" w:hAnsi="Aptos"/>
                <w:b w:val="0"/>
                <w:sz w:val="15"/>
              </w:rPr>
              <w:t>missing_type + imputation_flag</w:t>
            </w:r>
          </w:p>
        </w:tc>
      </w:tr>
      <w:tr>
        <w:tc>
          <w:tcPr>
            <w:tcW w:type="dxa" w:w="1080"/>
            <w:vAlign w:val="center"/>
          </w:tcPr>
          <w:p>
            <w:r/>
            <w:r>
              <w:rPr>
                <w:rFonts w:ascii="Aptos" w:hAnsi="Aptos"/>
                <w:b w:val="0"/>
                <w:sz w:val="15"/>
              </w:rPr>
              <w:t>8. Outlier handling</w:t>
            </w:r>
          </w:p>
        </w:tc>
        <w:tc>
          <w:tcPr>
            <w:tcW w:type="dxa" w:w="1944"/>
            <w:vAlign w:val="center"/>
          </w:tcPr>
          <w:p>
            <w:r/>
            <w:r>
              <w:rPr>
                <w:rFonts w:ascii="Aptos" w:hAnsi="Aptos"/>
                <w:b w:val="0"/>
                <w:sz w:val="15"/>
              </w:rPr>
              <w:t>Flag extreme observations and investigate source/context.</w:t>
            </w:r>
          </w:p>
        </w:tc>
        <w:tc>
          <w:tcPr>
            <w:tcW w:type="dxa" w:w="2880"/>
            <w:vAlign w:val="center"/>
          </w:tcPr>
          <w:p>
            <w:r/>
            <w:r>
              <w:rPr>
                <w:rFonts w:ascii="Aptos" w:hAnsi="Aptos"/>
                <w:b w:val="0"/>
                <w:sz w:val="15"/>
              </w:rPr>
              <w:t>IQR, robust z-score, percentile and domain checks.</w:t>
            </w:r>
          </w:p>
        </w:tc>
        <w:tc>
          <w:tcPr>
            <w:tcW w:type="dxa" w:w="2880"/>
            <w:vAlign w:val="center"/>
          </w:tcPr>
          <w:p>
            <w:r/>
            <w:r>
              <w:rPr>
                <w:rFonts w:ascii="Aptos" w:hAnsi="Aptos"/>
                <w:b w:val="0"/>
                <w:sz w:val="15"/>
              </w:rPr>
              <w:t>Market shocks can be real; automatic deletion is unsafe.</w:t>
            </w:r>
          </w:p>
        </w:tc>
        <w:tc>
          <w:tcPr>
            <w:tcW w:type="dxa" w:w="1872"/>
            <w:vAlign w:val="center"/>
          </w:tcPr>
          <w:p>
            <w:r/>
            <w:r>
              <w:rPr>
                <w:rFonts w:ascii="Aptos" w:hAnsi="Aptos"/>
                <w:b w:val="0"/>
                <w:sz w:val="15"/>
              </w:rPr>
              <w:t>outlier_flag</w:t>
            </w:r>
          </w:p>
        </w:tc>
      </w:tr>
      <w:tr>
        <w:tc>
          <w:tcPr>
            <w:tcW w:type="dxa" w:w="1080"/>
            <w:vAlign w:val="center"/>
          </w:tcPr>
          <w:p>
            <w:r/>
            <w:r>
              <w:rPr>
                <w:rFonts w:ascii="Aptos" w:hAnsi="Aptos"/>
                <w:b w:val="0"/>
                <w:sz w:val="15"/>
              </w:rPr>
              <w:t>9. Transformations</w:t>
            </w:r>
          </w:p>
        </w:tc>
        <w:tc>
          <w:tcPr>
            <w:tcW w:type="dxa" w:w="1944"/>
            <w:vAlign w:val="center"/>
          </w:tcPr>
          <w:p>
            <w:r/>
            <w:r>
              <w:rPr>
                <w:rFonts w:ascii="Aptos" w:hAnsi="Aptos"/>
                <w:b w:val="0"/>
                <w:sz w:val="15"/>
              </w:rPr>
              <w:t>Create growth rates, shares, log transforms or normalized metrics where appropriate.</w:t>
            </w:r>
          </w:p>
        </w:tc>
        <w:tc>
          <w:tcPr>
            <w:tcW w:type="dxa" w:w="2880"/>
            <w:vAlign w:val="center"/>
          </w:tcPr>
          <w:p>
            <w:r/>
            <w:r>
              <w:rPr>
                <w:rFonts w:ascii="Aptos" w:hAnsi="Aptos"/>
                <w:b w:val="0"/>
                <w:sz w:val="15"/>
              </w:rPr>
              <w:t>Document formula and denominator.</w:t>
            </w:r>
          </w:p>
        </w:tc>
        <w:tc>
          <w:tcPr>
            <w:tcW w:type="dxa" w:w="2880"/>
            <w:vAlign w:val="center"/>
          </w:tcPr>
          <w:p>
            <w:r/>
            <w:r>
              <w:rPr>
                <w:rFonts w:ascii="Aptos" w:hAnsi="Aptos"/>
                <w:b w:val="0"/>
                <w:sz w:val="15"/>
              </w:rPr>
              <w:t>Creates analysis-ready features without changing raw values.</w:t>
            </w:r>
          </w:p>
        </w:tc>
        <w:tc>
          <w:tcPr>
            <w:tcW w:type="dxa" w:w="1872"/>
            <w:vAlign w:val="center"/>
          </w:tcPr>
          <w:p>
            <w:r/>
            <w:r>
              <w:rPr>
                <w:rFonts w:ascii="Aptos" w:hAnsi="Aptos"/>
                <w:b w:val="0"/>
                <w:sz w:val="15"/>
              </w:rPr>
              <w:t>derived_features</w:t>
            </w:r>
          </w:p>
        </w:tc>
      </w:tr>
      <w:tr>
        <w:tc>
          <w:tcPr>
            <w:tcW w:type="dxa" w:w="1080"/>
            <w:vAlign w:val="center"/>
          </w:tcPr>
          <w:p>
            <w:r/>
            <w:r>
              <w:rPr>
                <w:rFonts w:ascii="Aptos" w:hAnsi="Aptos"/>
                <w:b w:val="0"/>
                <w:sz w:val="15"/>
              </w:rPr>
              <w:t>10. Final validation</w:t>
            </w:r>
          </w:p>
        </w:tc>
        <w:tc>
          <w:tcPr>
            <w:tcW w:type="dxa" w:w="1944"/>
            <w:vAlign w:val="center"/>
          </w:tcPr>
          <w:p>
            <w:r/>
            <w:r>
              <w:rPr>
                <w:rFonts w:ascii="Aptos" w:hAnsi="Aptos"/>
                <w:b w:val="0"/>
                <w:sz w:val="15"/>
              </w:rPr>
              <w:t>Recheck row counts, totals, ranges and key relationships.</w:t>
            </w:r>
          </w:p>
        </w:tc>
        <w:tc>
          <w:tcPr>
            <w:tcW w:type="dxa" w:w="2880"/>
            <w:vAlign w:val="center"/>
          </w:tcPr>
          <w:p>
            <w:r/>
            <w:r>
              <w:rPr>
                <w:rFonts w:ascii="Aptos" w:hAnsi="Aptos"/>
                <w:b w:val="0"/>
                <w:sz w:val="15"/>
              </w:rPr>
              <w:t>Automated validation + sample manual review.</w:t>
            </w:r>
          </w:p>
        </w:tc>
        <w:tc>
          <w:tcPr>
            <w:tcW w:type="dxa" w:w="2880"/>
            <w:vAlign w:val="center"/>
          </w:tcPr>
          <w:p>
            <w:r/>
            <w:r>
              <w:rPr>
                <w:rFonts w:ascii="Aptos" w:hAnsi="Aptos"/>
                <w:b w:val="0"/>
                <w:sz w:val="15"/>
              </w:rPr>
              <w:t>Ensures the cleaned layer is trustworthy.</w:t>
            </w:r>
          </w:p>
        </w:tc>
        <w:tc>
          <w:tcPr>
            <w:tcW w:type="dxa" w:w="1872"/>
            <w:vAlign w:val="center"/>
          </w:tcPr>
          <w:p>
            <w:r/>
            <w:r>
              <w:rPr>
                <w:rFonts w:ascii="Aptos" w:hAnsi="Aptos"/>
                <w:b w:val="0"/>
                <w:sz w:val="15"/>
              </w:rPr>
              <w:t>validation report</w:t>
            </w:r>
          </w:p>
        </w:tc>
      </w:tr>
    </w:tbl>
    <w:p>
      <w:pPr>
        <w:spacing w:after="20"/>
      </w:pPr>
    </w:p>
    <w:p>
      <w:pPr>
        <w:pStyle w:val="Heading1"/>
      </w:pPr>
      <w:r>
        <w:t>8. Missing Data Strategy</w:t>
      </w:r>
    </w:p>
    <w:p>
      <w:r>
        <w:t>Missing values will not be treated as zeros by default. The first step is to determine whether a blank means not reported, not applicable, suppressed, unavailable or genuinely zero. Each category receives a different treatment.</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EDEDED"/>
          </w:tcPr>
          <w:p>
            <w:r/>
            <w:r>
              <w:rPr>
                <w:rFonts w:ascii="Aptos" w:hAnsi="Aptos"/>
                <w:b/>
                <w:sz w:val="17"/>
              </w:rPr>
              <w:t>Missing type</w:t>
            </w:r>
          </w:p>
        </w:tc>
        <w:tc>
          <w:tcPr>
            <w:tcW w:type="dxa" w:w="4680"/>
            <w:vAlign w:val="center"/>
            <w:shd w:fill="EDEDED"/>
          </w:tcPr>
          <w:p>
            <w:r/>
            <w:r>
              <w:rPr>
                <w:rFonts w:ascii="Aptos" w:hAnsi="Aptos"/>
                <w:b/>
                <w:sz w:val="17"/>
              </w:rPr>
              <w:t>Treatment</w:t>
            </w:r>
          </w:p>
        </w:tc>
        <w:tc>
          <w:tcPr>
            <w:tcW w:type="dxa" w:w="3888"/>
            <w:vAlign w:val="center"/>
            <w:shd w:fill="EDEDED"/>
          </w:tcPr>
          <w:p>
            <w:r/>
            <w:r>
              <w:rPr>
                <w:rFonts w:ascii="Aptos" w:hAnsi="Aptos"/>
                <w:b/>
                <w:sz w:val="17"/>
              </w:rPr>
              <w:t>Example</w:t>
            </w:r>
          </w:p>
        </w:tc>
      </w:tr>
      <w:tr>
        <w:tc>
          <w:tcPr>
            <w:tcW w:type="dxa" w:w="2232"/>
            <w:vAlign w:val="center"/>
          </w:tcPr>
          <w:p>
            <w:r/>
            <w:r>
              <w:rPr>
                <w:rFonts w:ascii="Aptos" w:hAnsi="Aptos"/>
                <w:b w:val="0"/>
                <w:sz w:val="17"/>
              </w:rPr>
              <w:t>Structural / not applicable</w:t>
            </w:r>
          </w:p>
        </w:tc>
        <w:tc>
          <w:tcPr>
            <w:tcW w:type="dxa" w:w="4680"/>
            <w:vAlign w:val="center"/>
          </w:tcPr>
          <w:p>
            <w:r/>
            <w:r>
              <w:rPr>
                <w:rFonts w:ascii="Aptos" w:hAnsi="Aptos"/>
                <w:b w:val="0"/>
                <w:sz w:val="17"/>
              </w:rPr>
              <w:t>Keep NA and preserve a reason code.</w:t>
            </w:r>
          </w:p>
        </w:tc>
        <w:tc>
          <w:tcPr>
            <w:tcW w:type="dxa" w:w="3888"/>
            <w:vAlign w:val="center"/>
          </w:tcPr>
          <w:p>
            <w:r/>
            <w:r>
              <w:rPr>
                <w:rFonts w:ascii="Aptos" w:hAnsi="Aptos"/>
                <w:b w:val="0"/>
                <w:sz w:val="17"/>
              </w:rPr>
              <w:t>Indicator does not apply to a country/product.</w:t>
            </w:r>
          </w:p>
        </w:tc>
      </w:tr>
      <w:tr>
        <w:tc>
          <w:tcPr>
            <w:tcW w:type="dxa" w:w="2232"/>
            <w:vAlign w:val="center"/>
          </w:tcPr>
          <w:p>
            <w:r/>
            <w:r>
              <w:rPr>
                <w:rFonts w:ascii="Aptos" w:hAnsi="Aptos"/>
                <w:b w:val="0"/>
                <w:sz w:val="17"/>
              </w:rPr>
              <w:t>Reported zero</w:t>
            </w:r>
          </w:p>
        </w:tc>
        <w:tc>
          <w:tcPr>
            <w:tcW w:type="dxa" w:w="4680"/>
            <w:vAlign w:val="center"/>
          </w:tcPr>
          <w:p>
            <w:r/>
            <w:r>
              <w:rPr>
                <w:rFonts w:ascii="Aptos" w:hAnsi="Aptos"/>
                <w:b w:val="0"/>
                <w:sz w:val="17"/>
              </w:rPr>
              <w:t>Keep 0; do not convert to NA.</w:t>
            </w:r>
          </w:p>
        </w:tc>
        <w:tc>
          <w:tcPr>
            <w:tcW w:type="dxa" w:w="3888"/>
            <w:vAlign w:val="center"/>
          </w:tcPr>
          <w:p>
            <w:r/>
            <w:r>
              <w:rPr>
                <w:rFonts w:ascii="Aptos" w:hAnsi="Aptos"/>
                <w:b w:val="0"/>
                <w:sz w:val="17"/>
              </w:rPr>
              <w:t>Official source explicitly reports zero trade.</w:t>
            </w:r>
          </w:p>
        </w:tc>
      </w:tr>
      <w:tr>
        <w:tc>
          <w:tcPr>
            <w:tcW w:type="dxa" w:w="2232"/>
            <w:vAlign w:val="center"/>
          </w:tcPr>
          <w:p>
            <w:r/>
            <w:r>
              <w:rPr>
                <w:rFonts w:ascii="Aptos" w:hAnsi="Aptos"/>
                <w:b w:val="0"/>
                <w:sz w:val="17"/>
              </w:rPr>
              <w:t>Not reported / unavailable</w:t>
            </w:r>
          </w:p>
        </w:tc>
        <w:tc>
          <w:tcPr>
            <w:tcW w:type="dxa" w:w="4680"/>
            <w:vAlign w:val="center"/>
          </w:tcPr>
          <w:p>
            <w:r/>
            <w:r>
              <w:rPr>
                <w:rFonts w:ascii="Aptos" w:hAnsi="Aptos"/>
                <w:b w:val="0"/>
                <w:sz w:val="17"/>
              </w:rPr>
              <w:t>Keep NA; add missing reason flag.</w:t>
            </w:r>
          </w:p>
        </w:tc>
        <w:tc>
          <w:tcPr>
            <w:tcW w:type="dxa" w:w="3888"/>
            <w:vAlign w:val="center"/>
          </w:tcPr>
          <w:p>
            <w:r/>
            <w:r>
              <w:rPr>
                <w:rFonts w:ascii="Aptos" w:hAnsi="Aptos"/>
                <w:b w:val="0"/>
                <w:sz w:val="17"/>
              </w:rPr>
              <w:t>Country did not submit data.</w:t>
            </w:r>
          </w:p>
        </w:tc>
      </w:tr>
      <w:tr>
        <w:tc>
          <w:tcPr>
            <w:tcW w:type="dxa" w:w="2232"/>
            <w:vAlign w:val="center"/>
          </w:tcPr>
          <w:p>
            <w:r/>
            <w:r>
              <w:rPr>
                <w:rFonts w:ascii="Aptos" w:hAnsi="Aptos"/>
                <w:b w:val="0"/>
                <w:sz w:val="17"/>
              </w:rPr>
              <w:t>Suppressed/confidential</w:t>
            </w:r>
          </w:p>
        </w:tc>
        <w:tc>
          <w:tcPr>
            <w:tcW w:type="dxa" w:w="4680"/>
            <w:vAlign w:val="center"/>
          </w:tcPr>
          <w:p>
            <w:r/>
            <w:r>
              <w:rPr>
                <w:rFonts w:ascii="Aptos" w:hAnsi="Aptos"/>
                <w:b w:val="0"/>
                <w:sz w:val="17"/>
              </w:rPr>
              <w:t>Keep NA plus suppression flag.</w:t>
            </w:r>
          </w:p>
        </w:tc>
        <w:tc>
          <w:tcPr>
            <w:tcW w:type="dxa" w:w="3888"/>
            <w:vAlign w:val="center"/>
          </w:tcPr>
          <w:p>
            <w:r/>
            <w:r>
              <w:rPr>
                <w:rFonts w:ascii="Aptos" w:hAnsi="Aptos"/>
                <w:b w:val="0"/>
                <w:sz w:val="17"/>
              </w:rPr>
              <w:t>Production value withheld.</w:t>
            </w:r>
          </w:p>
        </w:tc>
      </w:tr>
      <w:tr>
        <w:tc>
          <w:tcPr>
            <w:tcW w:type="dxa" w:w="2232"/>
            <w:vAlign w:val="center"/>
          </w:tcPr>
          <w:p>
            <w:r/>
            <w:r>
              <w:rPr>
                <w:rFonts w:ascii="Aptos" w:hAnsi="Aptos"/>
                <w:b w:val="0"/>
                <w:sz w:val="17"/>
              </w:rPr>
              <w:t>Small random gaps in time series</w:t>
            </w:r>
          </w:p>
        </w:tc>
        <w:tc>
          <w:tcPr>
            <w:tcW w:type="dxa" w:w="4680"/>
            <w:vAlign w:val="center"/>
          </w:tcPr>
          <w:p>
            <w:r/>
            <w:r>
              <w:rPr>
                <w:rFonts w:ascii="Aptos" w:hAnsi="Aptos"/>
                <w:b w:val="0"/>
                <w:sz w:val="17"/>
              </w:rPr>
              <w:t>Consider interpolation only after validation.</w:t>
            </w:r>
          </w:p>
        </w:tc>
        <w:tc>
          <w:tcPr>
            <w:tcW w:type="dxa" w:w="3888"/>
            <w:vAlign w:val="center"/>
          </w:tcPr>
          <w:p>
            <w:r/>
            <w:r>
              <w:rPr>
                <w:rFonts w:ascii="Aptos" w:hAnsi="Aptos"/>
                <w:b w:val="0"/>
                <w:sz w:val="17"/>
              </w:rPr>
              <w:t>Short gap in an otherwise stable monthly series.</w:t>
            </w:r>
          </w:p>
        </w:tc>
      </w:tr>
      <w:tr>
        <w:tc>
          <w:tcPr>
            <w:tcW w:type="dxa" w:w="2232"/>
            <w:vAlign w:val="center"/>
          </w:tcPr>
          <w:p>
            <w:r/>
            <w:r>
              <w:rPr>
                <w:rFonts w:ascii="Aptos" w:hAnsi="Aptos"/>
                <w:b w:val="0"/>
                <w:sz w:val="17"/>
              </w:rPr>
              <w:t>Large or systematic gaps</w:t>
            </w:r>
          </w:p>
        </w:tc>
        <w:tc>
          <w:tcPr>
            <w:tcW w:type="dxa" w:w="4680"/>
            <w:vAlign w:val="center"/>
          </w:tcPr>
          <w:p>
            <w:r/>
            <w:r>
              <w:rPr>
                <w:rFonts w:ascii="Aptos" w:hAnsi="Aptos"/>
                <w:b w:val="0"/>
                <w:sz w:val="17"/>
              </w:rPr>
              <w:t>Do not impute automatically; use alternative source or restrict analysis.</w:t>
            </w:r>
          </w:p>
        </w:tc>
        <w:tc>
          <w:tcPr>
            <w:tcW w:type="dxa" w:w="3888"/>
            <w:vAlign w:val="center"/>
          </w:tcPr>
          <w:p>
            <w:r/>
            <w:r>
              <w:rPr>
                <w:rFonts w:ascii="Aptos" w:hAnsi="Aptos"/>
                <w:b w:val="0"/>
                <w:sz w:val="17"/>
              </w:rPr>
              <w:t>Several consecutive years missing for a country.</w:t>
            </w:r>
          </w:p>
        </w:tc>
      </w:tr>
    </w:tbl>
    <w:p>
      <w:pPr>
        <w:spacing w:after="20"/>
      </w:pPr>
    </w:p>
    <w:p>
      <w:pPr>
        <w:pStyle w:val="Heading1"/>
      </w:pPr>
      <w:r>
        <w:t>9. Outlier Strategy</w:t>
      </w:r>
    </w:p>
    <w:p>
      <w:pPr>
        <w:pStyle w:val="ListNumber"/>
      </w:pPr>
      <w:r>
        <w:t>Run statistical screening: IQR rule, robust z-score or percentile thresholds.</w:t>
      </w:r>
    </w:p>
    <w:p>
      <w:pPr>
        <w:pStyle w:val="ListNumber"/>
      </w:pPr>
      <w:r>
        <w:t>Compare flagged records against neighbouring periods and peer countries.</w:t>
      </w:r>
    </w:p>
    <w:p>
      <w:pPr>
        <w:pStyle w:val="ListNumber"/>
      </w:pPr>
      <w:r>
        <w:t>Check whether the spike aligns with known events such as tariff changes, supply disruptions, commodity shocks or classification changes.</w:t>
      </w:r>
    </w:p>
    <w:p>
      <w:pPr>
        <w:pStyle w:val="ListNumber"/>
      </w:pPr>
      <w:r>
        <w:t>Cross-check with a second authoritative source when available.</w:t>
      </w:r>
    </w:p>
    <w:p>
      <w:pPr>
        <w:pStyle w:val="ListNumber"/>
      </w:pPr>
      <w:r>
        <w:t>If the value is plausible, retain it and mark it as an investigated observation.</w:t>
      </w:r>
    </w:p>
    <w:p>
      <w:pPr>
        <w:pStyle w:val="ListNumber"/>
      </w:pPr>
      <w:r>
        <w:t>If the value is demonstrably erroneous, correct only when the official source provides a correction; otherwise exclude from a specific analysis with a documented exclusion flag.</w:t>
      </w:r>
    </w:p>
    <w:p>
      <w:pPr>
        <w:pStyle w:val="Heading1"/>
      </w:pPr>
      <w:r>
        <w:t>10. Standardization and Transformation Rules</w:t>
      </w:r>
    </w:p>
    <w:p>
      <w:pPr>
        <w:pStyle w:val="ListBullet"/>
      </w:pPr>
      <w:r>
        <w:t>Dates: store ISO-style dates or separate year/month/quarter fields; never mix date formats in one column.</w:t>
      </w:r>
    </w:p>
    <w:p>
      <w:pPr>
        <w:pStyle w:val="ListBullet"/>
      </w:pPr>
      <w:r>
        <w:t>Country: retain original source label plus canonical ISO-3 code.</w:t>
      </w:r>
    </w:p>
    <w:p>
      <w:pPr>
        <w:pStyle w:val="ListBullet"/>
      </w:pPr>
      <w:r>
        <w:t>Product: retain original code, classification revision and mapped analytical group.</w:t>
      </w:r>
    </w:p>
    <w:p>
      <w:pPr>
        <w:pStyle w:val="ListBullet"/>
      </w:pPr>
      <w:r>
        <w:t>Currency: preserve source currency/value; convert to a common currency only when the conversion method and reference period are documented.</w:t>
      </w:r>
    </w:p>
    <w:p>
      <w:pPr>
        <w:pStyle w:val="ListBullet"/>
      </w:pPr>
      <w:r>
        <w:t>Weight: store explicit units such as kg or tonnes; do not infer unit from magnitude.</w:t>
      </w:r>
    </w:p>
    <w:p>
      <w:pPr>
        <w:pStyle w:val="ListBullet"/>
      </w:pPr>
      <w:r>
        <w:t>Text fields: trim whitespace, normalize case only for matching, and preserve original text when it has semantic value.</w:t>
      </w:r>
    </w:p>
    <w:p>
      <w:pPr>
        <w:pStyle w:val="ListBullet"/>
      </w:pPr>
      <w:r>
        <w:t>Categorical values: use controlled vocabularies and mapping tables rather than free-text replacements.</w:t>
      </w:r>
    </w:p>
    <w:p>
      <w:pPr>
        <w:pStyle w:val="ListBullet"/>
      </w:pPr>
      <w:r>
        <w:t>Derived metrics: calculate only after denominators and units have passed validation.</w:t>
      </w:r>
    </w:p>
    <w:p>
      <w:pPr>
        <w:pStyle w:val="Heading1"/>
      </w:pPr>
      <w:r>
        <w:t>11. Validation Framework</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EDEDED"/>
          </w:tcPr>
          <w:p>
            <w:r/>
            <w:r>
              <w:rPr>
                <w:rFonts w:ascii="Aptos" w:hAnsi="Aptos"/>
                <w:b/>
                <w:sz w:val="16"/>
              </w:rPr>
              <w:t>Validation layer</w:t>
            </w:r>
          </w:p>
        </w:tc>
        <w:tc>
          <w:tcPr>
            <w:tcW w:type="dxa" w:w="5040"/>
            <w:vAlign w:val="center"/>
            <w:shd w:fill="EDEDED"/>
          </w:tcPr>
          <w:p>
            <w:r/>
            <w:r>
              <w:rPr>
                <w:rFonts w:ascii="Aptos" w:hAnsi="Aptos"/>
                <w:b/>
                <w:sz w:val="16"/>
              </w:rPr>
              <w:t>Checks</w:t>
            </w:r>
          </w:p>
        </w:tc>
        <w:tc>
          <w:tcPr>
            <w:tcW w:type="dxa" w:w="3384"/>
            <w:vAlign w:val="center"/>
            <w:shd w:fill="EDEDED"/>
          </w:tcPr>
          <w:p>
            <w:r/>
            <w:r>
              <w:rPr>
                <w:rFonts w:ascii="Aptos" w:hAnsi="Aptos"/>
                <w:b/>
                <w:sz w:val="16"/>
              </w:rPr>
              <w:t>Acceptance rule</w:t>
            </w:r>
          </w:p>
        </w:tc>
      </w:tr>
      <w:tr>
        <w:tc>
          <w:tcPr>
            <w:tcW w:type="dxa" w:w="1944"/>
            <w:vAlign w:val="center"/>
          </w:tcPr>
          <w:p>
            <w:r/>
            <w:r>
              <w:rPr>
                <w:rFonts w:ascii="Aptos" w:hAnsi="Aptos"/>
                <w:b w:val="0"/>
                <w:sz w:val="16"/>
              </w:rPr>
              <w:t>Source validation</w:t>
            </w:r>
          </w:p>
        </w:tc>
        <w:tc>
          <w:tcPr>
            <w:tcW w:type="dxa" w:w="5040"/>
            <w:vAlign w:val="center"/>
          </w:tcPr>
          <w:p>
            <w:r/>
            <w:r>
              <w:rPr>
                <w:rFonts w:ascii="Aptos" w:hAnsi="Aptos"/>
                <w:b w:val="0"/>
                <w:sz w:val="16"/>
              </w:rPr>
              <w:t>HTTP/download status, file integrity, source URL, release date.</w:t>
            </w:r>
          </w:p>
        </w:tc>
        <w:tc>
          <w:tcPr>
            <w:tcW w:type="dxa" w:w="3384"/>
            <w:vAlign w:val="center"/>
          </w:tcPr>
          <w:p>
            <w:r/>
            <w:r>
              <w:rPr>
                <w:rFonts w:ascii="Aptos" w:hAnsi="Aptos"/>
                <w:b w:val="0"/>
                <w:sz w:val="16"/>
              </w:rPr>
              <w:t>Source is official and file/API response is readable.</w:t>
            </w:r>
          </w:p>
        </w:tc>
      </w:tr>
      <w:tr>
        <w:tc>
          <w:tcPr>
            <w:tcW w:type="dxa" w:w="1944"/>
            <w:vAlign w:val="center"/>
          </w:tcPr>
          <w:p>
            <w:r/>
            <w:r>
              <w:rPr>
                <w:rFonts w:ascii="Aptos" w:hAnsi="Aptos"/>
                <w:b w:val="0"/>
                <w:sz w:val="16"/>
              </w:rPr>
              <w:t>Schema validation</w:t>
            </w:r>
          </w:p>
        </w:tc>
        <w:tc>
          <w:tcPr>
            <w:tcW w:type="dxa" w:w="5040"/>
            <w:vAlign w:val="center"/>
          </w:tcPr>
          <w:p>
            <w:r/>
            <w:r>
              <w:rPr>
                <w:rFonts w:ascii="Aptos" w:hAnsi="Aptos"/>
                <w:b w:val="0"/>
                <w:sz w:val="16"/>
              </w:rPr>
              <w:t>Columns, data types, required fields, allowed categories.</w:t>
            </w:r>
          </w:p>
        </w:tc>
        <w:tc>
          <w:tcPr>
            <w:tcW w:type="dxa" w:w="3384"/>
            <w:vAlign w:val="center"/>
          </w:tcPr>
          <w:p>
            <w:r/>
            <w:r>
              <w:rPr>
                <w:rFonts w:ascii="Aptos" w:hAnsi="Aptos"/>
                <w:b w:val="0"/>
                <w:sz w:val="16"/>
              </w:rPr>
              <w:t>No unexpected schema break without review.</w:t>
            </w:r>
          </w:p>
        </w:tc>
      </w:tr>
      <w:tr>
        <w:tc>
          <w:tcPr>
            <w:tcW w:type="dxa" w:w="1944"/>
            <w:vAlign w:val="center"/>
          </w:tcPr>
          <w:p>
            <w:r/>
            <w:r>
              <w:rPr>
                <w:rFonts w:ascii="Aptos" w:hAnsi="Aptos"/>
                <w:b w:val="0"/>
                <w:sz w:val="16"/>
              </w:rPr>
              <w:t>Completeness</w:t>
            </w:r>
          </w:p>
        </w:tc>
        <w:tc>
          <w:tcPr>
            <w:tcW w:type="dxa" w:w="5040"/>
            <w:vAlign w:val="center"/>
          </w:tcPr>
          <w:p>
            <w:r/>
            <w:r>
              <w:rPr>
                <w:rFonts w:ascii="Aptos" w:hAnsi="Aptos"/>
                <w:b w:val="0"/>
                <w:sz w:val="16"/>
              </w:rPr>
              <w:t>Missingness by field/country/product/year.</w:t>
            </w:r>
          </w:p>
        </w:tc>
        <w:tc>
          <w:tcPr>
            <w:tcW w:type="dxa" w:w="3384"/>
            <w:vAlign w:val="center"/>
          </w:tcPr>
          <w:p>
            <w:r/>
            <w:r>
              <w:rPr>
                <w:rFonts w:ascii="Aptos" w:hAnsi="Aptos"/>
                <w:b w:val="0"/>
                <w:sz w:val="16"/>
              </w:rPr>
              <w:t>Missingness is documented and within project tolerance.</w:t>
            </w:r>
          </w:p>
        </w:tc>
      </w:tr>
      <w:tr>
        <w:tc>
          <w:tcPr>
            <w:tcW w:type="dxa" w:w="1944"/>
            <w:vAlign w:val="center"/>
          </w:tcPr>
          <w:p>
            <w:r/>
            <w:r>
              <w:rPr>
                <w:rFonts w:ascii="Aptos" w:hAnsi="Aptos"/>
                <w:b w:val="0"/>
                <w:sz w:val="16"/>
              </w:rPr>
              <w:t>Uniqueness</w:t>
            </w:r>
          </w:p>
        </w:tc>
        <w:tc>
          <w:tcPr>
            <w:tcW w:type="dxa" w:w="5040"/>
            <w:vAlign w:val="center"/>
          </w:tcPr>
          <w:p>
            <w:r/>
            <w:r>
              <w:rPr>
                <w:rFonts w:ascii="Aptos" w:hAnsi="Aptos"/>
                <w:b w:val="0"/>
                <w:sz w:val="16"/>
              </w:rPr>
              <w:t>Business-key duplicates.</w:t>
            </w:r>
          </w:p>
        </w:tc>
        <w:tc>
          <w:tcPr>
            <w:tcW w:type="dxa" w:w="3384"/>
            <w:vAlign w:val="center"/>
          </w:tcPr>
          <w:p>
            <w:r/>
            <w:r>
              <w:rPr>
                <w:rFonts w:ascii="Aptos" w:hAnsi="Aptos"/>
                <w:b w:val="0"/>
                <w:sz w:val="16"/>
              </w:rPr>
              <w:t>Unexpected duplicates = 0 after investigation.</w:t>
            </w:r>
          </w:p>
        </w:tc>
      </w:tr>
      <w:tr>
        <w:tc>
          <w:tcPr>
            <w:tcW w:type="dxa" w:w="1944"/>
            <w:vAlign w:val="center"/>
          </w:tcPr>
          <w:p>
            <w:r/>
            <w:r>
              <w:rPr>
                <w:rFonts w:ascii="Aptos" w:hAnsi="Aptos"/>
                <w:b w:val="0"/>
                <w:sz w:val="16"/>
              </w:rPr>
              <w:t>Range checks</w:t>
            </w:r>
          </w:p>
        </w:tc>
        <w:tc>
          <w:tcPr>
            <w:tcW w:type="dxa" w:w="5040"/>
            <w:vAlign w:val="center"/>
          </w:tcPr>
          <w:p>
            <w:r/>
            <w:r>
              <w:rPr>
                <w:rFonts w:ascii="Aptos" w:hAnsi="Aptos"/>
                <w:b w:val="0"/>
                <w:sz w:val="16"/>
              </w:rPr>
              <w:t>Negative values, impossible percentages, invalid years.</w:t>
            </w:r>
          </w:p>
        </w:tc>
        <w:tc>
          <w:tcPr>
            <w:tcW w:type="dxa" w:w="3384"/>
            <w:vAlign w:val="center"/>
          </w:tcPr>
          <w:p>
            <w:r/>
            <w:r>
              <w:rPr>
                <w:rFonts w:ascii="Aptos" w:hAnsi="Aptos"/>
                <w:b w:val="0"/>
                <w:sz w:val="16"/>
              </w:rPr>
              <w:t>All exceptions flagged and explained.</w:t>
            </w:r>
          </w:p>
        </w:tc>
      </w:tr>
      <w:tr>
        <w:tc>
          <w:tcPr>
            <w:tcW w:type="dxa" w:w="1944"/>
            <w:vAlign w:val="center"/>
          </w:tcPr>
          <w:p>
            <w:r/>
            <w:r>
              <w:rPr>
                <w:rFonts w:ascii="Aptos" w:hAnsi="Aptos"/>
                <w:b w:val="0"/>
                <w:sz w:val="16"/>
              </w:rPr>
              <w:t>Consistency</w:t>
            </w:r>
          </w:p>
        </w:tc>
        <w:tc>
          <w:tcPr>
            <w:tcW w:type="dxa" w:w="5040"/>
            <w:vAlign w:val="center"/>
          </w:tcPr>
          <w:p>
            <w:r/>
            <w:r>
              <w:rPr>
                <w:rFonts w:ascii="Aptos" w:hAnsi="Aptos"/>
                <w:b w:val="0"/>
                <w:sz w:val="16"/>
              </w:rPr>
              <w:t>Totals by product/country vs source totals where available.</w:t>
            </w:r>
          </w:p>
        </w:tc>
        <w:tc>
          <w:tcPr>
            <w:tcW w:type="dxa" w:w="3384"/>
            <w:vAlign w:val="center"/>
          </w:tcPr>
          <w:p>
            <w:r/>
            <w:r>
              <w:rPr>
                <w:rFonts w:ascii="Aptos" w:hAnsi="Aptos"/>
                <w:b w:val="0"/>
                <w:sz w:val="16"/>
              </w:rPr>
              <w:t>Material differences investigated.</w:t>
            </w:r>
          </w:p>
        </w:tc>
      </w:tr>
      <w:tr>
        <w:tc>
          <w:tcPr>
            <w:tcW w:type="dxa" w:w="1944"/>
            <w:vAlign w:val="center"/>
          </w:tcPr>
          <w:p>
            <w:r/>
            <w:r>
              <w:rPr>
                <w:rFonts w:ascii="Aptos" w:hAnsi="Aptos"/>
                <w:b w:val="0"/>
                <w:sz w:val="16"/>
              </w:rPr>
              <w:t>Cross-source validation</w:t>
            </w:r>
          </w:p>
        </w:tc>
        <w:tc>
          <w:tcPr>
            <w:tcW w:type="dxa" w:w="5040"/>
            <w:vAlign w:val="center"/>
          </w:tcPr>
          <w:p>
            <w:r/>
            <w:r>
              <w:rPr>
                <w:rFonts w:ascii="Aptos" w:hAnsi="Aptos"/>
                <w:b w:val="0"/>
                <w:sz w:val="16"/>
              </w:rPr>
              <w:t>Compare overlapping indicators from another authoritative source.</w:t>
            </w:r>
          </w:p>
        </w:tc>
        <w:tc>
          <w:tcPr>
            <w:tcW w:type="dxa" w:w="3384"/>
            <w:vAlign w:val="center"/>
          </w:tcPr>
          <w:p>
            <w:r/>
            <w:r>
              <w:rPr>
                <w:rFonts w:ascii="Aptos" w:hAnsi="Aptos"/>
                <w:b w:val="0"/>
                <w:sz w:val="16"/>
              </w:rPr>
              <w:t>Large discrepancies require explanation.</w:t>
            </w:r>
          </w:p>
        </w:tc>
      </w:tr>
      <w:tr>
        <w:tc>
          <w:tcPr>
            <w:tcW w:type="dxa" w:w="1944"/>
            <w:vAlign w:val="center"/>
          </w:tcPr>
          <w:p>
            <w:r/>
            <w:r>
              <w:rPr>
                <w:rFonts w:ascii="Aptos" w:hAnsi="Aptos"/>
                <w:b w:val="0"/>
                <w:sz w:val="16"/>
              </w:rPr>
              <w:t>Reproducibility</w:t>
            </w:r>
          </w:p>
        </w:tc>
        <w:tc>
          <w:tcPr>
            <w:tcW w:type="dxa" w:w="5040"/>
            <w:vAlign w:val="center"/>
          </w:tcPr>
          <w:p>
            <w:r/>
            <w:r>
              <w:rPr>
                <w:rFonts w:ascii="Aptos" w:hAnsi="Aptos"/>
                <w:b w:val="0"/>
                <w:sz w:val="16"/>
              </w:rPr>
              <w:t>Rerun pipeline from raw input.</w:t>
            </w:r>
          </w:p>
        </w:tc>
        <w:tc>
          <w:tcPr>
            <w:tcW w:type="dxa" w:w="3384"/>
            <w:vAlign w:val="center"/>
          </w:tcPr>
          <w:p>
            <w:r/>
            <w:r>
              <w:rPr>
                <w:rFonts w:ascii="Aptos" w:hAnsi="Aptos"/>
                <w:b w:val="0"/>
                <w:sz w:val="16"/>
              </w:rPr>
              <w:t>Same input produces same processed output.</w:t>
            </w:r>
          </w:p>
        </w:tc>
      </w:tr>
    </w:tbl>
    <w:p>
      <w:pPr>
        <w:spacing w:after="20"/>
      </w:pPr>
    </w:p>
    <w:p>
      <w:pPr>
        <w:pStyle w:val="Heading1"/>
      </w:pPr>
      <w:r>
        <w:t>12. Iterative Improvement Loop</w:t>
      </w:r>
    </w:p>
    <w:p>
      <w:r>
        <w:t>The pipeline should be treated as a living process rather than a one-time cleaning exercise:</w:t>
      </w:r>
    </w:p>
    <w:p>
      <w:pPr>
        <w:pStyle w:val="ListNumber"/>
      </w:pPr>
      <w:r>
        <w:t>Run the pipeline on a small pilot extract.</w:t>
      </w:r>
    </w:p>
    <w:p>
      <w:pPr>
        <w:pStyle w:val="ListNumber"/>
      </w:pPr>
      <w:r>
        <w:t>Record schema problems, missingness patterns and ambiguous mappings.</w:t>
      </w:r>
    </w:p>
    <w:p>
      <w:pPr>
        <w:pStyle w:val="ListNumber"/>
      </w:pPr>
      <w:r>
        <w:t>Update the data dictionary and transformation rules.</w:t>
      </w:r>
    </w:p>
    <w:p>
      <w:pPr>
        <w:pStyle w:val="ListNumber"/>
      </w:pPr>
      <w:r>
        <w:t>Rerun on a larger sample.</w:t>
      </w:r>
    </w:p>
    <w:p>
      <w:pPr>
        <w:pStyle w:val="ListNumber"/>
      </w:pPr>
      <w:r>
        <w:t>Compare validation metrics with the pilot.</w:t>
      </w:r>
    </w:p>
    <w:p>
      <w:pPr>
        <w:pStyle w:val="ListNumber"/>
      </w:pPr>
      <w:r>
        <w:t>Freeze a versioned preprocessing specification.</w:t>
      </w:r>
    </w:p>
    <w:p>
      <w:pPr>
        <w:pStyle w:val="ListNumber"/>
      </w:pPr>
      <w:r>
        <w:t>Schedule periodic source refreshes and re-run the same checks.</w:t>
      </w:r>
    </w:p>
    <w:p>
      <w:pPr>
        <w:pStyle w:val="ListNumber"/>
      </w:pPr>
      <w:r>
        <w:t>Maintain a change log whenever a source schema, classification or transformation rule changes.</w:t>
      </w:r>
    </w:p>
    <w:p>
      <w:pPr>
        <w:pStyle w:val="Heading1"/>
      </w:pPr>
      <w:r>
        <w:t>13. Practical Project Structure</w:t>
      </w:r>
    </w:p>
    <w:p>
      <w:r>
        <w:rPr>
          <w:rFonts w:ascii="Consolas" w:hAnsi="Consolas"/>
          <w:sz w:val="18"/>
        </w:rPr>
        <w:t>apparel-textile-data-landscape/</w:t>
        <w:br/>
      </w:r>
      <w:r>
        <w:rPr>
          <w:rFonts w:ascii="Consolas" w:hAnsi="Consolas"/>
          <w:sz w:val="18"/>
        </w:rPr>
        <w:t>├── config/</w:t>
        <w:br/>
      </w:r>
      <w:r>
        <w:rPr>
          <w:rFonts w:ascii="Consolas" w:hAnsi="Consolas"/>
          <w:sz w:val="18"/>
        </w:rPr>
        <w:t>│   ├── source_register.csv</w:t>
        <w:br/>
      </w:r>
      <w:r>
        <w:rPr>
          <w:rFonts w:ascii="Consolas" w:hAnsi="Consolas"/>
          <w:sz w:val="18"/>
        </w:rPr>
        <w:t>│   └── data_dictionary.csv</w:t>
        <w:br/>
      </w:r>
      <w:r>
        <w:rPr>
          <w:rFonts w:ascii="Consolas" w:hAnsi="Consolas"/>
          <w:sz w:val="18"/>
        </w:rPr>
        <w:t>├── data/</w:t>
        <w:br/>
      </w:r>
      <w:r>
        <w:rPr>
          <w:rFonts w:ascii="Consolas" w:hAnsi="Consolas"/>
          <w:sz w:val="18"/>
        </w:rPr>
        <w:t>│   ├── raw/</w:t>
        <w:br/>
      </w:r>
      <w:r>
        <w:rPr>
          <w:rFonts w:ascii="Consolas" w:hAnsi="Consolas"/>
          <w:sz w:val="18"/>
        </w:rPr>
        <w:t>│   └── processed/</w:t>
        <w:br/>
      </w:r>
      <w:r>
        <w:rPr>
          <w:rFonts w:ascii="Consolas" w:hAnsi="Consolas"/>
          <w:sz w:val="18"/>
        </w:rPr>
        <w:t>├── notebooks/</w:t>
        <w:br/>
      </w:r>
      <w:r>
        <w:rPr>
          <w:rFonts w:ascii="Consolas" w:hAnsi="Consolas"/>
          <w:sz w:val="18"/>
        </w:rPr>
        <w:t>│   └── 02_collection_preprocessing_checks.ipynb</w:t>
        <w:br/>
      </w:r>
      <w:r>
        <w:rPr>
          <w:rFonts w:ascii="Consolas" w:hAnsi="Consolas"/>
          <w:sz w:val="18"/>
        </w:rPr>
        <w:t>├── src/</w:t>
        <w:br/>
      </w:r>
      <w:r>
        <w:rPr>
          <w:rFonts w:ascii="Consolas" w:hAnsi="Consolas"/>
          <w:sz w:val="18"/>
        </w:rPr>
        <w:t>│   ├── ingestion.py</w:t>
        <w:br/>
      </w:r>
      <w:r>
        <w:rPr>
          <w:rFonts w:ascii="Consolas" w:hAnsi="Consolas"/>
          <w:sz w:val="18"/>
        </w:rPr>
        <w:t>│   ├── cleaning.py</w:t>
        <w:br/>
      </w:r>
      <w:r>
        <w:rPr>
          <w:rFonts w:ascii="Consolas" w:hAnsi="Consolas"/>
          <w:sz w:val="18"/>
        </w:rPr>
        <w:t>│   ├── validation.py</w:t>
        <w:br/>
      </w:r>
      <w:r>
        <w:rPr>
          <w:rFonts w:ascii="Consolas" w:hAnsi="Consolas"/>
          <w:sz w:val="18"/>
        </w:rPr>
        <w:t>│   └── transforms.py</w:t>
        <w:br/>
      </w:r>
      <w:r>
        <w:rPr>
          <w:rFonts w:ascii="Consolas" w:hAnsi="Consolas"/>
          <w:sz w:val="18"/>
        </w:rPr>
        <w:t>├── outputs/</w:t>
        <w:br/>
      </w:r>
      <w:r>
        <w:rPr>
          <w:rFonts w:ascii="Consolas" w:hAnsi="Consolas"/>
          <w:sz w:val="18"/>
        </w:rPr>
        <w:t>│   ├── quality_reports/</w:t>
        <w:br/>
      </w:r>
      <w:r>
        <w:rPr>
          <w:rFonts w:ascii="Consolas" w:hAnsi="Consolas"/>
          <w:sz w:val="18"/>
        </w:rPr>
        <w:t>│   └── tables/</w:t>
        <w:br/>
      </w:r>
      <w:r>
        <w:rPr>
          <w:rFonts w:ascii="Consolas" w:hAnsi="Consolas"/>
          <w:sz w:val="18"/>
        </w:rPr>
        <w:t>└── README.md</w:t>
        <w:br/>
      </w:r>
    </w:p>
    <w:p>
      <w:pPr>
        <w:pStyle w:val="Heading1"/>
      </w:pPr>
      <w:r>
        <w:t>14. Recommended Implementation Sequence</w:t>
      </w:r>
    </w:p>
    <w:p>
      <w:pPr>
        <w:pStyle w:val="ListNumber"/>
      </w:pPr>
      <w:r>
        <w:t>Start with one source and one narrow product scope rather than downloading the entire industry universe.</w:t>
      </w:r>
    </w:p>
    <w:p>
      <w:pPr>
        <w:pStyle w:val="ListNumber"/>
      </w:pPr>
      <w:r>
        <w:t>Build and test the ingestion module first.</w:t>
      </w:r>
    </w:p>
    <w:p>
      <w:pPr>
        <w:pStyle w:val="ListNumber"/>
      </w:pPr>
      <w:r>
        <w:t>Freeze the raw extract and create a data dictionary.</w:t>
      </w:r>
    </w:p>
    <w:p>
      <w:pPr>
        <w:pStyle w:val="ListNumber"/>
      </w:pPr>
      <w:r>
        <w:t>Implement automated schema, missingness, duplicate and range checks.</w:t>
      </w:r>
    </w:p>
    <w:p>
      <w:pPr>
        <w:pStyle w:val="ListNumber"/>
      </w:pPr>
      <w:r>
        <w:t>Add geography and product mapping tables.</w:t>
      </w:r>
    </w:p>
    <w:p>
      <w:pPr>
        <w:pStyle w:val="ListNumber"/>
      </w:pPr>
      <w:r>
        <w:t>Implement transformations only after validation.</w:t>
      </w:r>
    </w:p>
    <w:p>
      <w:pPr>
        <w:pStyle w:val="ListNumber"/>
      </w:pPr>
      <w:r>
        <w:t>Add the second source and test whether common keys are genuinely compatible.</w:t>
      </w:r>
    </w:p>
    <w:p>
      <w:pPr>
        <w:pStyle w:val="ListNumber"/>
      </w:pPr>
      <w:r>
        <w:t>Create a master analytical table only after source-level quality is acceptable.</w:t>
      </w:r>
    </w:p>
    <w:p>
      <w:pPr>
        <w:pStyle w:val="ListNumber"/>
      </w:pPr>
      <w:r>
        <w:t>Keep an audit log of every decision that changes or excludes data.</w:t>
      </w:r>
    </w:p>
    <w:p>
      <w:pPr>
        <w:pStyle w:val="Heading1"/>
      </w:pPr>
      <w:r>
        <w:t>15. Methodology Justification</w:t>
      </w:r>
    </w:p>
    <w:p>
      <w:r>
        <w:t>The methodology prioritizes reproducibility over convenience. API-based and official-download collection is preferred because it can be repeated and parameterized. Raw data are preserved because a cleaned dataset without its original provenance cannot be reliably audited. Standardization is performed through mapping tables rather than destructive replacement because apparel and textile classifications evolve over time. Missing values are classified before imputation because a zero, a non-response and a suppressed value represent different business realities. Outliers are investigated rather than automatically deleted because textile trade can experience genuine structural shocks. Finally, validation is layered so that errors are detected close to the point where they enter the pipeline.</w:t>
      </w:r>
    </w:p>
    <w:p>
      <w:pPr>
        <w:pStyle w:val="Heading1"/>
      </w:pPr>
      <w:r>
        <w:t>16. Definition of Done</w:t>
      </w:r>
    </w:p>
    <w:p>
      <w:pPr>
        <w:pStyle w:val="ListBullet"/>
      </w:pPr>
      <w:r>
        <w:t>At least five authoritative public sources are registered with owner, URL, collection method and limitations.</w:t>
      </w:r>
    </w:p>
    <w:p>
      <w:pPr>
        <w:pStyle w:val="ListBullet"/>
      </w:pPr>
      <w:r>
        <w:t>Every source has a documented extraction method and metadata capture checklist.</w:t>
      </w:r>
    </w:p>
    <w:p>
      <w:pPr>
        <w:pStyle w:val="ListBullet"/>
      </w:pPr>
      <w:r>
        <w:t>Raw data are immutable and separated from processed data.</w:t>
      </w:r>
    </w:p>
    <w:p>
      <w:pPr>
        <w:pStyle w:val="ListBullet"/>
      </w:pPr>
      <w:r>
        <w:t>A data dictionary defines fields, units, keys and allowed values.</w:t>
      </w:r>
    </w:p>
    <w:p>
      <w:pPr>
        <w:pStyle w:val="ListBullet"/>
      </w:pPr>
      <w:r>
        <w:t>Missing-value, duplicate, outlier and range checks are automated where possible.</w:t>
      </w:r>
    </w:p>
    <w:p>
      <w:pPr>
        <w:pStyle w:val="ListBullet"/>
      </w:pPr>
      <w:r>
        <w:t>Geography and product mappings are versioned and auditable.</w:t>
      </w:r>
    </w:p>
    <w:p>
      <w:pPr>
        <w:pStyle w:val="ListBullet"/>
      </w:pPr>
      <w:r>
        <w:t>All derived variables have documented formulas.</w:t>
      </w:r>
    </w:p>
    <w:p>
      <w:pPr>
        <w:pStyle w:val="ListBullet"/>
      </w:pPr>
      <w:r>
        <w:t>Validation results are stored as a report rather than only checked manually.</w:t>
      </w:r>
    </w:p>
    <w:p>
      <w:pPr>
        <w:pStyle w:val="ListBullet"/>
      </w:pPr>
      <w:r>
        <w:t>The workflow can be rerun when a source is refreshed.</w:t>
      </w:r>
    </w:p>
    <w:p>
      <w:pPr>
        <w:pStyle w:val="ListBullet"/>
      </w:pPr>
      <w:r>
        <w:t>Ethical and legal constraints are explicitly considered before collection.</w:t>
      </w:r>
    </w:p>
    <w:p>
      <w:pPr>
        <w:pStyle w:val="Heading1"/>
      </w:pPr>
      <w:r>
        <w:t>17. References and Official Documentation</w:t>
      </w:r>
    </w:p>
    <w:p>
      <w:r>
        <w:rPr>
          <w:b/>
        </w:rPr>
        <w:t>World Bank WITS — API overview</w:t>
      </w:r>
      <w:r>
        <w:t xml:space="preserve"> — https://wits.worldbank.org/witsapiintro.aspx?lang=en</w:t>
      </w:r>
      <w:r>
        <w:t xml:space="preserve"> (REST/SDMX access and query limitations)</w:t>
      </w:r>
    </w:p>
    <w:p>
      <w:r>
        <w:rPr>
          <w:b/>
        </w:rPr>
        <w:t>World Bank WITS — Data portal</w:t>
      </w:r>
      <w:r>
        <w:t xml:space="preserve"> — https://wits.worldbank.org/</w:t>
      </w:r>
      <w:r>
        <w:t xml:space="preserve"> (Trade, tariff and NTM data)</w:t>
      </w:r>
    </w:p>
    <w:p>
      <w:r>
        <w:rPr>
          <w:b/>
        </w:rPr>
        <w:t>Eurostat — API getting started</w:t>
      </w:r>
      <w:r>
        <w:t xml:space="preserve"> — https://ec.europa.eu/eurostat/web/user-guides/data-browser/api-data-access/api-getting-started</w:t>
      </w:r>
      <w:r>
        <w:t xml:space="preserve"> (REST and SDMX API documentation)</w:t>
      </w:r>
    </w:p>
    <w:p>
      <w:r>
        <w:rPr>
          <w:b/>
        </w:rPr>
        <w:t>Eurostat — API introduction</w:t>
      </w:r>
      <w:r>
        <w:t xml:space="preserve"> — https://ec.europa.eu/eurostat/web/user-guides/data-browser/api-data-access/api-introduction</w:t>
      </w:r>
      <w:r>
        <w:t xml:space="preserve"> (API availability and PRODCOM/Comext endpoint notes)</w:t>
      </w:r>
    </w:p>
    <w:p>
      <w:r>
        <w:rPr>
          <w:b/>
        </w:rPr>
        <w:t>ILO — ILOSTAT</w:t>
      </w:r>
      <w:r>
        <w:t xml:space="preserve"> — https://ilostat.ilo.org/</w:t>
      </w:r>
      <w:r>
        <w:t xml:space="preserve"> (Labour statistics and metadata)</w:t>
      </w:r>
    </w:p>
    <w:p>
      <w:r>
        <w:rPr>
          <w:b/>
        </w:rPr>
        <w:t>FAO — FAOSTAT</w:t>
      </w:r>
      <w:r>
        <w:t xml:space="preserve"> — https://www.fao.org/faostat/en/</w:t>
      </w:r>
      <w:r>
        <w:t xml:space="preserve"> (Agriculture and commodity statistics)</w:t>
      </w:r>
    </w:p>
    <w:p>
      <w:r>
        <w:rPr>
          <w:b/>
        </w:rPr>
        <w:t>WTO — Statistics</w:t>
      </w:r>
      <w:r>
        <w:t xml:space="preserve"> — https://www.wto.org/english/res_e/statis_e/statis_e.htm</w:t>
      </w:r>
      <w:r>
        <w:t xml:space="preserve"> (Global trade statistics)</w:t>
      </w:r>
    </w:p>
    <w:p>
      <w:r>
        <w:rPr>
          <w:b/>
        </w:rPr>
        <w:t>UN Comtrade Plus</w:t>
      </w:r>
      <w:r>
        <w:t xml:space="preserve"> — https://comtradeplus.un.org/TradeFlow</w:t>
      </w:r>
      <w:r>
        <w:t xml:space="preserve"> (Bilateral merchandise trade data)</w:t>
      </w:r>
    </w:p>
    <w:p>
      <w:r>
        <w:rPr>
          <w:b/>
        </w:rPr>
        <w:t>EEA — Textiles Circularity Metrics Lab</w:t>
      </w:r>
      <w:r>
        <w:t xml:space="preserve"> — https://www.eea.europa.eu/en/circularity/sectoral-modules/textiles</w:t>
      </w:r>
      <w:r>
        <w:t xml:space="preserve"> (Textile consumption, waste and circularity indicators)</w:t>
      </w:r>
    </w:p>
    <w:p>
      <w:pPr>
        <w:pStyle w:val="Heading1"/>
      </w:pPr>
      <w:r>
        <w:t>Appendix A — 30-Hour Implementation Schedule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vAlign w:val="center"/>
            <w:shd w:fill="EDEDED"/>
          </w:tcPr>
          <w:p>
            <w:r/>
            <w:r>
              <w:rPr>
                <w:rFonts w:ascii="Aptos" w:hAnsi="Aptos"/>
                <w:b/>
                <w:sz w:val="16"/>
              </w:rPr>
              <w:t>Phase</w:t>
            </w:r>
          </w:p>
        </w:tc>
        <w:tc>
          <w:tcPr>
            <w:tcW w:type="dxa" w:w="936"/>
            <w:vAlign w:val="center"/>
            <w:shd w:fill="EDEDED"/>
          </w:tcPr>
          <w:p>
            <w:r/>
            <w:r>
              <w:rPr>
                <w:rFonts w:ascii="Aptos" w:hAnsi="Aptos"/>
                <w:b/>
                <w:sz w:val="16"/>
              </w:rPr>
              <w:t>Hours</w:t>
            </w:r>
          </w:p>
        </w:tc>
        <w:tc>
          <w:tcPr>
            <w:tcW w:type="dxa" w:w="5112"/>
            <w:vAlign w:val="center"/>
            <w:shd w:fill="EDEDED"/>
          </w:tcPr>
          <w:p>
            <w:r/>
            <w:r>
              <w:rPr>
                <w:rFonts w:ascii="Aptos" w:hAnsi="Aptos"/>
                <w:b/>
                <w:sz w:val="16"/>
              </w:rPr>
              <w:t>Main activities</w:t>
            </w:r>
          </w:p>
        </w:tc>
        <w:tc>
          <w:tcPr>
            <w:tcW w:type="dxa" w:w="2376"/>
            <w:vAlign w:val="center"/>
            <w:shd w:fill="EDEDED"/>
          </w:tcPr>
          <w:p>
            <w:r/>
            <w:r>
              <w:rPr>
                <w:rFonts w:ascii="Aptos" w:hAnsi="Aptos"/>
                <w:b/>
                <w:sz w:val="16"/>
              </w:rPr>
              <w:t>Deliverable</w:t>
            </w:r>
          </w:p>
        </w:tc>
      </w:tr>
      <w:tr>
        <w:tc>
          <w:tcPr>
            <w:tcW w:type="dxa" w:w="2088"/>
            <w:vAlign w:val="center"/>
          </w:tcPr>
          <w:p>
            <w:r/>
            <w:r>
              <w:rPr>
                <w:rFonts w:ascii="Aptos" w:hAnsi="Aptos"/>
                <w:b w:val="0"/>
                <w:sz w:val="16"/>
              </w:rPr>
              <w:t>Scope + source register</w:t>
            </w:r>
          </w:p>
        </w:tc>
        <w:tc>
          <w:tcPr>
            <w:tcW w:type="dxa" w:w="936"/>
            <w:vAlign w:val="center"/>
          </w:tcPr>
          <w:p>
            <w:r/>
            <w:r>
              <w:rPr>
                <w:rFonts w:ascii="Aptos" w:hAnsi="Aptos"/>
                <w:b w:val="0"/>
                <w:sz w:val="16"/>
              </w:rPr>
              <w:t>2</w:t>
            </w:r>
          </w:p>
        </w:tc>
        <w:tc>
          <w:tcPr>
            <w:tcW w:type="dxa" w:w="5112"/>
            <w:vAlign w:val="center"/>
          </w:tcPr>
          <w:p>
            <w:r/>
            <w:r>
              <w:rPr>
                <w:rFonts w:ascii="Aptos" w:hAnsi="Aptos"/>
                <w:b w:val="0"/>
                <w:sz w:val="16"/>
              </w:rPr>
              <w:t>Define variables, target products, geographies and periods; document sources.</w:t>
            </w:r>
          </w:p>
        </w:tc>
        <w:tc>
          <w:tcPr>
            <w:tcW w:type="dxa" w:w="2376"/>
            <w:vAlign w:val="center"/>
          </w:tcPr>
          <w:p>
            <w:r/>
            <w:r>
              <w:rPr>
                <w:rFonts w:ascii="Aptos" w:hAnsi="Aptos"/>
                <w:b w:val="0"/>
                <w:sz w:val="16"/>
              </w:rPr>
              <w:t>Approved source register</w:t>
            </w:r>
          </w:p>
        </w:tc>
      </w:tr>
      <w:tr>
        <w:tc>
          <w:tcPr>
            <w:tcW w:type="dxa" w:w="2088"/>
            <w:vAlign w:val="center"/>
          </w:tcPr>
          <w:p>
            <w:r/>
            <w:r>
              <w:rPr>
                <w:rFonts w:ascii="Aptos" w:hAnsi="Aptos"/>
                <w:b w:val="0"/>
                <w:sz w:val="16"/>
              </w:rPr>
              <w:t>Pilot collection</w:t>
            </w:r>
          </w:p>
        </w:tc>
        <w:tc>
          <w:tcPr>
            <w:tcW w:type="dxa" w:w="936"/>
            <w:vAlign w:val="center"/>
          </w:tcPr>
          <w:p>
            <w:r/>
            <w:r>
              <w:rPr>
                <w:rFonts w:ascii="Aptos" w:hAnsi="Aptos"/>
                <w:b w:val="0"/>
                <w:sz w:val="16"/>
              </w:rPr>
              <w:t>4</w:t>
            </w:r>
          </w:p>
        </w:tc>
        <w:tc>
          <w:tcPr>
            <w:tcW w:type="dxa" w:w="5112"/>
            <w:vAlign w:val="center"/>
          </w:tcPr>
          <w:p>
            <w:r/>
            <w:r>
              <w:rPr>
                <w:rFonts w:ascii="Aptos" w:hAnsi="Aptos"/>
                <w:b w:val="0"/>
                <w:sz w:val="16"/>
              </w:rPr>
              <w:t>Test API/download/manual methods on small extracts; capture metadata.</w:t>
            </w:r>
          </w:p>
        </w:tc>
        <w:tc>
          <w:tcPr>
            <w:tcW w:type="dxa" w:w="2376"/>
            <w:vAlign w:val="center"/>
          </w:tcPr>
          <w:p>
            <w:r/>
            <w:r>
              <w:rPr>
                <w:rFonts w:ascii="Aptos" w:hAnsi="Aptos"/>
                <w:b w:val="0"/>
                <w:sz w:val="16"/>
              </w:rPr>
              <w:t>Pilot raw files + logs</w:t>
            </w:r>
          </w:p>
        </w:tc>
      </w:tr>
      <w:tr>
        <w:tc>
          <w:tcPr>
            <w:tcW w:type="dxa" w:w="2088"/>
            <w:vAlign w:val="center"/>
          </w:tcPr>
          <w:p>
            <w:r/>
            <w:r>
              <w:rPr>
                <w:rFonts w:ascii="Aptos" w:hAnsi="Aptos"/>
                <w:b w:val="0"/>
                <w:sz w:val="16"/>
              </w:rPr>
              <w:t>Raw data profiling</w:t>
            </w:r>
          </w:p>
        </w:tc>
        <w:tc>
          <w:tcPr>
            <w:tcW w:type="dxa" w:w="936"/>
            <w:vAlign w:val="center"/>
          </w:tcPr>
          <w:p>
            <w:r/>
            <w:r>
              <w:rPr>
                <w:rFonts w:ascii="Aptos" w:hAnsi="Aptos"/>
                <w:b w:val="0"/>
                <w:sz w:val="16"/>
              </w:rPr>
              <w:t>3</w:t>
            </w:r>
          </w:p>
        </w:tc>
        <w:tc>
          <w:tcPr>
            <w:tcW w:type="dxa" w:w="5112"/>
            <w:vAlign w:val="center"/>
          </w:tcPr>
          <w:p>
            <w:r/>
            <w:r>
              <w:rPr>
                <w:rFonts w:ascii="Aptos" w:hAnsi="Aptos"/>
                <w:b w:val="0"/>
                <w:sz w:val="16"/>
              </w:rPr>
              <w:t>Schema, missingness, duplicates, types, ranges and units.</w:t>
            </w:r>
          </w:p>
        </w:tc>
        <w:tc>
          <w:tcPr>
            <w:tcW w:type="dxa" w:w="2376"/>
            <w:vAlign w:val="center"/>
          </w:tcPr>
          <w:p>
            <w:r/>
            <w:r>
              <w:rPr>
                <w:rFonts w:ascii="Aptos" w:hAnsi="Aptos"/>
                <w:b w:val="0"/>
                <w:sz w:val="16"/>
              </w:rPr>
              <w:t>Quality profile</w:t>
            </w:r>
          </w:p>
        </w:tc>
      </w:tr>
      <w:tr>
        <w:tc>
          <w:tcPr>
            <w:tcW w:type="dxa" w:w="2088"/>
            <w:vAlign w:val="center"/>
          </w:tcPr>
          <w:p>
            <w:r/>
            <w:r>
              <w:rPr>
                <w:rFonts w:ascii="Aptos" w:hAnsi="Aptos"/>
                <w:b w:val="0"/>
                <w:sz w:val="16"/>
              </w:rPr>
              <w:t>Standardization</w:t>
            </w:r>
          </w:p>
        </w:tc>
        <w:tc>
          <w:tcPr>
            <w:tcW w:type="dxa" w:w="936"/>
            <w:vAlign w:val="center"/>
          </w:tcPr>
          <w:p>
            <w:r/>
            <w:r>
              <w:rPr>
                <w:rFonts w:ascii="Aptos" w:hAnsi="Aptos"/>
                <w:b w:val="0"/>
                <w:sz w:val="16"/>
              </w:rPr>
              <w:t>5</w:t>
            </w:r>
          </w:p>
        </w:tc>
        <w:tc>
          <w:tcPr>
            <w:tcW w:type="dxa" w:w="5112"/>
            <w:vAlign w:val="center"/>
          </w:tcPr>
          <w:p>
            <w:r/>
            <w:r>
              <w:rPr>
                <w:rFonts w:ascii="Aptos" w:hAnsi="Aptos"/>
                <w:b w:val="0"/>
                <w:sz w:val="16"/>
              </w:rPr>
              <w:t>Geography, product, dates, units and controlled vocabularies.</w:t>
            </w:r>
          </w:p>
        </w:tc>
        <w:tc>
          <w:tcPr>
            <w:tcW w:type="dxa" w:w="2376"/>
            <w:vAlign w:val="center"/>
          </w:tcPr>
          <w:p>
            <w:r/>
            <w:r>
              <w:rPr>
                <w:rFonts w:ascii="Aptos" w:hAnsi="Aptos"/>
                <w:b w:val="0"/>
                <w:sz w:val="16"/>
              </w:rPr>
              <w:t>Standardized tables</w:t>
            </w:r>
          </w:p>
        </w:tc>
      </w:tr>
      <w:tr>
        <w:tc>
          <w:tcPr>
            <w:tcW w:type="dxa" w:w="2088"/>
            <w:vAlign w:val="center"/>
          </w:tcPr>
          <w:p>
            <w:r/>
            <w:r>
              <w:rPr>
                <w:rFonts w:ascii="Aptos" w:hAnsi="Aptos"/>
                <w:b w:val="0"/>
                <w:sz w:val="16"/>
              </w:rPr>
              <w:t>Missing/outlier handling</w:t>
            </w:r>
          </w:p>
        </w:tc>
        <w:tc>
          <w:tcPr>
            <w:tcW w:type="dxa" w:w="936"/>
            <w:vAlign w:val="center"/>
          </w:tcPr>
          <w:p>
            <w:r/>
            <w:r>
              <w:rPr>
                <w:rFonts w:ascii="Aptos" w:hAnsi="Aptos"/>
                <w:b w:val="0"/>
                <w:sz w:val="16"/>
              </w:rPr>
              <w:t>4</w:t>
            </w:r>
          </w:p>
        </w:tc>
        <w:tc>
          <w:tcPr>
            <w:tcW w:type="dxa" w:w="5112"/>
            <w:vAlign w:val="center"/>
          </w:tcPr>
          <w:p>
            <w:r/>
            <w:r>
              <w:rPr>
                <w:rFonts w:ascii="Aptos" w:hAnsi="Aptos"/>
                <w:b w:val="0"/>
                <w:sz w:val="16"/>
              </w:rPr>
              <w:t>Classify missingness, investigate outliers and document rules.</w:t>
            </w:r>
          </w:p>
        </w:tc>
        <w:tc>
          <w:tcPr>
            <w:tcW w:type="dxa" w:w="2376"/>
            <w:vAlign w:val="center"/>
          </w:tcPr>
          <w:p>
            <w:r/>
            <w:r>
              <w:rPr>
                <w:rFonts w:ascii="Aptos" w:hAnsi="Aptos"/>
                <w:b w:val="0"/>
                <w:sz w:val="16"/>
              </w:rPr>
              <w:t>Cleaning specification</w:t>
            </w:r>
          </w:p>
        </w:tc>
      </w:tr>
      <w:tr>
        <w:tc>
          <w:tcPr>
            <w:tcW w:type="dxa" w:w="2088"/>
            <w:vAlign w:val="center"/>
          </w:tcPr>
          <w:p>
            <w:r/>
            <w:r>
              <w:rPr>
                <w:rFonts w:ascii="Aptos" w:hAnsi="Aptos"/>
                <w:b w:val="0"/>
                <w:sz w:val="16"/>
              </w:rPr>
              <w:t>Transformation</w:t>
            </w:r>
          </w:p>
        </w:tc>
        <w:tc>
          <w:tcPr>
            <w:tcW w:type="dxa" w:w="936"/>
            <w:vAlign w:val="center"/>
          </w:tcPr>
          <w:p>
            <w:r/>
            <w:r>
              <w:rPr>
                <w:rFonts w:ascii="Aptos" w:hAnsi="Aptos"/>
                <w:b w:val="0"/>
                <w:sz w:val="16"/>
              </w:rPr>
              <w:t>3</w:t>
            </w:r>
          </w:p>
        </w:tc>
        <w:tc>
          <w:tcPr>
            <w:tcW w:type="dxa" w:w="5112"/>
            <w:vAlign w:val="center"/>
          </w:tcPr>
          <w:p>
            <w:r/>
            <w:r>
              <w:rPr>
                <w:rFonts w:ascii="Aptos" w:hAnsi="Aptos"/>
                <w:b w:val="0"/>
                <w:sz w:val="16"/>
              </w:rPr>
              <w:t>Create derived metrics and analytical keys.</w:t>
            </w:r>
          </w:p>
        </w:tc>
        <w:tc>
          <w:tcPr>
            <w:tcW w:type="dxa" w:w="2376"/>
            <w:vAlign w:val="center"/>
          </w:tcPr>
          <w:p>
            <w:r/>
            <w:r>
              <w:rPr>
                <w:rFonts w:ascii="Aptos" w:hAnsi="Aptos"/>
                <w:b w:val="0"/>
                <w:sz w:val="16"/>
              </w:rPr>
              <w:t>Processed analytical tables</w:t>
            </w:r>
          </w:p>
        </w:tc>
      </w:tr>
      <w:tr>
        <w:tc>
          <w:tcPr>
            <w:tcW w:type="dxa" w:w="2088"/>
            <w:vAlign w:val="center"/>
          </w:tcPr>
          <w:p>
            <w:r/>
            <w:r>
              <w:rPr>
                <w:rFonts w:ascii="Aptos" w:hAnsi="Aptos"/>
                <w:b w:val="0"/>
                <w:sz w:val="16"/>
              </w:rPr>
              <w:t>Validation</w:t>
            </w:r>
          </w:p>
        </w:tc>
        <w:tc>
          <w:tcPr>
            <w:tcW w:type="dxa" w:w="936"/>
            <w:vAlign w:val="center"/>
          </w:tcPr>
          <w:p>
            <w:r/>
            <w:r>
              <w:rPr>
                <w:rFonts w:ascii="Aptos" w:hAnsi="Aptos"/>
                <w:b w:val="0"/>
                <w:sz w:val="16"/>
              </w:rPr>
              <w:t>3</w:t>
            </w:r>
          </w:p>
        </w:tc>
        <w:tc>
          <w:tcPr>
            <w:tcW w:type="dxa" w:w="5112"/>
            <w:vAlign w:val="center"/>
          </w:tcPr>
          <w:p>
            <w:r/>
            <w:r>
              <w:rPr>
                <w:rFonts w:ascii="Aptos" w:hAnsi="Aptos"/>
                <w:b w:val="0"/>
                <w:sz w:val="16"/>
              </w:rPr>
              <w:t>Source totals, cross-source checks, rerun tests.</w:t>
            </w:r>
          </w:p>
        </w:tc>
        <w:tc>
          <w:tcPr>
            <w:tcW w:type="dxa" w:w="2376"/>
            <w:vAlign w:val="center"/>
          </w:tcPr>
          <w:p>
            <w:r/>
            <w:r>
              <w:rPr>
                <w:rFonts w:ascii="Aptos" w:hAnsi="Aptos"/>
                <w:b w:val="0"/>
                <w:sz w:val="16"/>
              </w:rPr>
              <w:t>Validation report</w:t>
            </w:r>
          </w:p>
        </w:tc>
      </w:tr>
      <w:tr>
        <w:tc>
          <w:tcPr>
            <w:tcW w:type="dxa" w:w="2088"/>
            <w:vAlign w:val="center"/>
          </w:tcPr>
          <w:p>
            <w:r/>
            <w:r>
              <w:rPr>
                <w:rFonts w:ascii="Aptos" w:hAnsi="Aptos"/>
                <w:b w:val="0"/>
                <w:sz w:val="16"/>
              </w:rPr>
              <w:t>Documentation</w:t>
            </w:r>
          </w:p>
        </w:tc>
        <w:tc>
          <w:tcPr>
            <w:tcW w:type="dxa" w:w="936"/>
            <w:vAlign w:val="center"/>
          </w:tcPr>
          <w:p>
            <w:r/>
            <w:r>
              <w:rPr>
                <w:rFonts w:ascii="Aptos" w:hAnsi="Aptos"/>
                <w:b w:val="0"/>
                <w:sz w:val="16"/>
              </w:rPr>
              <w:t>2</w:t>
            </w:r>
          </w:p>
        </w:tc>
        <w:tc>
          <w:tcPr>
            <w:tcW w:type="dxa" w:w="5112"/>
            <w:vAlign w:val="center"/>
          </w:tcPr>
          <w:p>
            <w:r/>
            <w:r>
              <w:rPr>
                <w:rFonts w:ascii="Aptos" w:hAnsi="Aptos"/>
                <w:b w:val="0"/>
                <w:sz w:val="16"/>
              </w:rPr>
              <w:t>Update README, data dictionary, limitations and reproducibility notes.</w:t>
            </w:r>
          </w:p>
        </w:tc>
        <w:tc>
          <w:tcPr>
            <w:tcW w:type="dxa" w:w="2376"/>
            <w:vAlign w:val="center"/>
          </w:tcPr>
          <w:p>
            <w:r/>
            <w:r>
              <w:rPr>
                <w:rFonts w:ascii="Aptos" w:hAnsi="Aptos"/>
                <w:b w:val="0"/>
                <w:sz w:val="16"/>
              </w:rPr>
              <w:t>Final pipeline documentation</w:t>
            </w:r>
          </w:p>
        </w:tc>
      </w:tr>
      <w:tr>
        <w:tc>
          <w:tcPr>
            <w:tcW w:type="dxa" w:w="2088"/>
            <w:vAlign w:val="center"/>
          </w:tcPr>
          <w:p>
            <w:r/>
            <w:r>
              <w:rPr>
                <w:rFonts w:ascii="Aptos" w:hAnsi="Aptos"/>
                <w:b w:val="0"/>
                <w:sz w:val="16"/>
              </w:rPr>
              <w:t>Review</w:t>
            </w:r>
          </w:p>
        </w:tc>
        <w:tc>
          <w:tcPr>
            <w:tcW w:type="dxa" w:w="936"/>
            <w:vAlign w:val="center"/>
          </w:tcPr>
          <w:p>
            <w:r/>
            <w:r>
              <w:rPr>
                <w:rFonts w:ascii="Aptos" w:hAnsi="Aptos"/>
                <w:b w:val="0"/>
                <w:sz w:val="16"/>
              </w:rPr>
              <w:t>4</w:t>
            </w:r>
          </w:p>
        </w:tc>
        <w:tc>
          <w:tcPr>
            <w:tcW w:type="dxa" w:w="5112"/>
            <w:vAlign w:val="center"/>
          </w:tcPr>
          <w:p>
            <w:r/>
            <w:r>
              <w:rPr>
                <w:rFonts w:ascii="Aptos" w:hAnsi="Aptos"/>
                <w:b w:val="0"/>
                <w:sz w:val="16"/>
              </w:rPr>
              <w:t>End-to-end rerun, spot checks, fix issues and freeze version.</w:t>
            </w:r>
          </w:p>
        </w:tc>
        <w:tc>
          <w:tcPr>
            <w:tcW w:type="dxa" w:w="2376"/>
            <w:vAlign w:val="center"/>
          </w:tcPr>
          <w:p>
            <w:r/>
            <w:r>
              <w:rPr>
                <w:rFonts w:ascii="Aptos" w:hAnsi="Aptos"/>
                <w:b w:val="0"/>
                <w:sz w:val="16"/>
              </w:rPr>
              <w:t>Submission-ready plan</w:t>
            </w:r>
          </w:p>
        </w:tc>
      </w:tr>
    </w:tbl>
    <w:p>
      <w:pPr>
        <w:spacing w:after="20"/>
      </w:pPr>
    </w:p>
    <w:p>
      <w:pPr>
        <w:pStyle w:val="Heading1"/>
      </w:pPr>
      <w:r>
        <w:t>Appendix B — Example Quality-Control Checklist</w:t>
      </w:r>
    </w:p>
    <w:p>
      <w:pPr>
        <w:pStyle w:val="ListBullet"/>
      </w:pPr>
      <w:r>
        <w:t>Source URL verified and official.</w:t>
      </w:r>
    </w:p>
    <w:p>
      <w:pPr>
        <w:pStyle w:val="ListBullet"/>
      </w:pPr>
      <w:r>
        <w:t>Dataset version/release date recorded.</w:t>
      </w:r>
    </w:p>
    <w:p>
      <w:pPr>
        <w:pStyle w:val="ListBullet"/>
      </w:pPr>
      <w:r>
        <w:t>Raw file stored unchanged.</w:t>
      </w:r>
    </w:p>
    <w:p>
      <w:pPr>
        <w:pStyle w:val="ListBullet"/>
      </w:pPr>
      <w:r>
        <w:t>Required columns present.</w:t>
      </w:r>
    </w:p>
    <w:p>
      <w:pPr>
        <w:pStyle w:val="ListBullet"/>
      </w:pPr>
      <w:r>
        <w:t>Data types validated.</w:t>
      </w:r>
    </w:p>
    <w:p>
      <w:pPr>
        <w:pStyle w:val="ListBullet"/>
      </w:pPr>
      <w:r>
        <w:t>Country and product mappings applied.</w:t>
      </w:r>
    </w:p>
    <w:p>
      <w:pPr>
        <w:pStyle w:val="ListBullet"/>
      </w:pPr>
      <w:r>
        <w:t>Missing-value reasons classified.</w:t>
      </w:r>
    </w:p>
    <w:p>
      <w:pPr>
        <w:pStyle w:val="ListBullet"/>
      </w:pPr>
      <w:r>
        <w:t>Duplicate business keys investigated.</w:t>
      </w:r>
    </w:p>
    <w:p>
      <w:pPr>
        <w:pStyle w:val="ListBullet"/>
      </w:pPr>
      <w:r>
        <w:t>Outliers flagged and reviewed.</w:t>
      </w:r>
    </w:p>
    <w:p>
      <w:pPr>
        <w:pStyle w:val="ListBullet"/>
      </w:pPr>
      <w:r>
        <w:t>Units and currencies documented.</w:t>
      </w:r>
    </w:p>
    <w:p>
      <w:pPr>
        <w:pStyle w:val="ListBullet"/>
      </w:pPr>
      <w:r>
        <w:t>Derived metrics formula documented.</w:t>
      </w:r>
    </w:p>
    <w:p>
      <w:pPr>
        <w:pStyle w:val="ListBullet"/>
      </w:pPr>
      <w:r>
        <w:t>Validation report generated.</w:t>
      </w:r>
    </w:p>
    <w:p>
      <w:pPr>
        <w:pStyle w:val="ListBullet"/>
      </w:pPr>
      <w:r>
        <w:t>Pipeline rerun successfully from raw input.</w:t>
      </w:r>
    </w:p>
    <w:p>
      <w:pPr>
        <w:pStyle w:val="ListBullet"/>
      </w:pPr>
      <w:r>
        <w:t>README/data dictionary updated.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Data Collection and Preprocessing Plan | Apparel &amp; Textiles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