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1 INTERNSHIP REPORT</w:t>
      </w:r>
    </w:p>
    <w:p>
      <w:pPr>
        <w:jc w:val="center"/>
      </w:pPr>
      <w:r>
        <w:rPr>
          <w:b/>
          <w:sz w:val="50"/>
        </w:rPr>
        <w:t>Data Landscape Strategy and Planning</w:t>
      </w:r>
    </w:p>
    <w:p>
      <w:pPr>
        <w:jc w:val="center"/>
      </w:pPr>
      <w:r>
        <w:rPr>
          <w:i/>
          <w:sz w:val="32"/>
        </w:rPr>
        <w:t>Apparel &amp; Textiles Industry</w:t>
      </w:r>
    </w:p>
    <w:p/>
    <w:p>
      <w:pPr>
        <w:jc w:val="center"/>
      </w:pPr>
      <w:r>
        <w:rPr>
          <w:sz w:val="21"/>
        </w:rPr>
        <w:t>Prepared as a Junior Data Scientist–oriented industry landscape and execution plan</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EDEDED"/>
          </w:tcPr>
          <w:p>
            <w:r/>
            <w:r>
              <w:rPr>
                <w:rFonts w:ascii="Aptos" w:hAnsi="Aptos"/>
                <w:b/>
                <w:sz w:val="18"/>
              </w:rPr>
              <w:t>Report Item</w:t>
            </w:r>
          </w:p>
        </w:tc>
        <w:tc>
          <w:tcPr>
            <w:tcW w:type="dxa" w:w="8352"/>
            <w:vAlign w:val="center"/>
            <w:shd w:fill="EDEDED"/>
          </w:tcPr>
          <w:p>
            <w:r/>
            <w:r>
              <w:rPr>
                <w:rFonts w:ascii="Aptos" w:hAnsi="Aptos"/>
                <w:b/>
                <w:sz w:val="18"/>
              </w:rPr>
              <w:t>Details</w:t>
            </w:r>
          </w:p>
        </w:tc>
      </w:tr>
      <w:tr>
        <w:tc>
          <w:tcPr>
            <w:tcW w:type="dxa" w:w="2448"/>
            <w:vAlign w:val="center"/>
          </w:tcPr>
          <w:p>
            <w:r/>
            <w:r>
              <w:rPr>
                <w:rFonts w:ascii="Aptos" w:hAnsi="Aptos"/>
                <w:b w:val="0"/>
                <w:sz w:val="17"/>
              </w:rPr>
              <w:t>Task</w:t>
            </w:r>
          </w:p>
        </w:tc>
        <w:tc>
          <w:tcPr>
            <w:tcW w:type="dxa" w:w="8352"/>
            <w:vAlign w:val="center"/>
          </w:tcPr>
          <w:p>
            <w:r/>
            <w:r>
              <w:rPr>
                <w:rFonts w:ascii="Aptos" w:hAnsi="Aptos"/>
                <w:b w:val="0"/>
                <w:sz w:val="17"/>
              </w:rPr>
              <w:t>Week 1 — Data Landscape Strategy and Planning</w:t>
            </w:r>
          </w:p>
        </w:tc>
      </w:tr>
      <w:tr>
        <w:tc>
          <w:tcPr>
            <w:tcW w:type="dxa" w:w="2448"/>
            <w:vAlign w:val="center"/>
          </w:tcPr>
          <w:p>
            <w:r/>
            <w:r>
              <w:rPr>
                <w:rFonts w:ascii="Aptos" w:hAnsi="Aptos"/>
                <w:b w:val="0"/>
                <w:sz w:val="17"/>
              </w:rPr>
              <w:t>Industry</w:t>
            </w:r>
          </w:p>
        </w:tc>
        <w:tc>
          <w:tcPr>
            <w:tcW w:type="dxa" w:w="8352"/>
            <w:vAlign w:val="center"/>
          </w:tcPr>
          <w:p>
            <w:r/>
            <w:r>
              <w:rPr>
                <w:rFonts w:ascii="Aptos" w:hAnsi="Aptos"/>
                <w:b w:val="0"/>
                <w:sz w:val="17"/>
              </w:rPr>
              <w:t>Apparel, Textiles, Garments and Related Supply Chains</w:t>
            </w:r>
          </w:p>
        </w:tc>
      </w:tr>
      <w:tr>
        <w:tc>
          <w:tcPr>
            <w:tcW w:type="dxa" w:w="2448"/>
            <w:vAlign w:val="center"/>
          </w:tcPr>
          <w:p>
            <w:r/>
            <w:r>
              <w:rPr>
                <w:rFonts w:ascii="Aptos" w:hAnsi="Aptos"/>
                <w:b w:val="0"/>
                <w:sz w:val="17"/>
              </w:rPr>
              <w:t>Scope</w:t>
            </w:r>
          </w:p>
        </w:tc>
        <w:tc>
          <w:tcPr>
            <w:tcW w:type="dxa" w:w="8352"/>
            <w:vAlign w:val="center"/>
          </w:tcPr>
          <w:p>
            <w:r/>
            <w:r>
              <w:rPr>
                <w:rFonts w:ascii="Aptos" w:hAnsi="Aptos"/>
                <w:b w:val="0"/>
                <w:sz w:val="17"/>
              </w:rPr>
              <w:t>Public data sources, market signals, data strategy, quality controls and preliminary analytics</w:t>
            </w:r>
          </w:p>
        </w:tc>
      </w:tr>
      <w:tr>
        <w:tc>
          <w:tcPr>
            <w:tcW w:type="dxa" w:w="2448"/>
            <w:vAlign w:val="center"/>
          </w:tcPr>
          <w:p>
            <w:r/>
            <w:r>
              <w:rPr>
                <w:rFonts w:ascii="Aptos" w:hAnsi="Aptos"/>
                <w:b w:val="0"/>
                <w:sz w:val="17"/>
              </w:rPr>
              <w:t>Planned Workload</w:t>
            </w:r>
          </w:p>
        </w:tc>
        <w:tc>
          <w:tcPr>
            <w:tcW w:type="dxa" w:w="8352"/>
            <w:vAlign w:val="center"/>
          </w:tcPr>
          <w:p>
            <w:r/>
            <w:r>
              <w:rPr>
                <w:rFonts w:ascii="Aptos" w:hAnsi="Aptos"/>
                <w:b w:val="0"/>
                <w:sz w:val="17"/>
              </w:rPr>
              <w:t>35 hours</w:t>
            </w:r>
          </w:p>
        </w:tc>
      </w:tr>
      <w:tr>
        <w:tc>
          <w:tcPr>
            <w:tcW w:type="dxa" w:w="2448"/>
            <w:vAlign w:val="center"/>
          </w:tcPr>
          <w:p>
            <w:r/>
            <w:r>
              <w:rPr>
                <w:rFonts w:ascii="Aptos" w:hAnsi="Aptos"/>
                <w:b w:val="0"/>
                <w:sz w:val="17"/>
              </w:rPr>
              <w:t>Primary Output</w:t>
            </w:r>
          </w:p>
        </w:tc>
        <w:tc>
          <w:tcPr>
            <w:tcW w:type="dxa" w:w="8352"/>
            <w:vAlign w:val="center"/>
          </w:tcPr>
          <w:p>
            <w:r/>
            <w:r>
              <w:rPr>
                <w:rFonts w:ascii="Aptos" w:hAnsi="Aptos"/>
                <w:b w:val="0"/>
                <w:sz w:val="17"/>
              </w:rPr>
              <w:t>A reusable data landscape and analysis blueprint for future projects</w:t>
            </w:r>
          </w:p>
        </w:tc>
      </w:tr>
    </w:tbl>
    <w:p>
      <w:pPr>
        <w:spacing w:after="40"/>
      </w:pPr>
    </w:p>
    <w:p>
      <w:r>
        <w:br w:type="page"/>
      </w:r>
    </w:p>
    <w:p>
      <w:pPr>
        <w:pStyle w:val="Heading1"/>
      </w:pPr>
      <w:r>
        <w:t>1. Executive Summary</w:t>
      </w:r>
    </w:p>
    <w:p>
      <w:r>
        <w:t>The apparel and textiles industry is a strong candidate for data-driven decision-making because its commercial performance is connected to several measurable external signals: international trade, raw-material availability, production, labour, consumer demand, waste, recycling and regulation. The key challenge is not the absence of data; it is the fragmentation of data across different classifications, time frequencies, geographies and definitions.</w:t>
      </w:r>
    </w:p>
    <w:p>
      <w:r>
        <w:t xml:space="preserve">This report proposes a practical framework called the </w:t>
      </w:r>
      <w:r>
        <w:rPr>
          <w:b/>
        </w:rPr>
        <w:t>Textile Data Spine</w:t>
      </w:r>
      <w:r>
        <w:t>: a small, traceable analytical layer that links trade, production, labour, raw materials and circularity signals through common dimensions such as country, product category, year/month and indicator. The first phase should deliberately avoid building a complex machine-learning system. Instead, the objective is to create a clean, documented and reproducible dataset from public sources, then use descriptive and diagnostic analysis to identify market opportunities, supply-chain concentration, material risks and circularity gaps.</w:t>
      </w:r>
    </w:p>
    <w:p>
      <w:r>
        <w:t>The recommended first data stack combines UN Comtrade/WITS for bilateral product trade, WTO statistics for macro trade validation and short-term signals, Eurostat PRODCOM for EU production, ILOSTAT/ILO sector data for employment and labour indicators, FAOSTAT/OECD-FAO for cotton and agricultural inputs, and the European Environment Agency (EEA) Circularity Metrics Lab for textile consumption, waste and circularity indicators. The sources are complementary rather than interchangeable.</w:t>
      </w:r>
    </w:p>
    <w:p>
      <w:r>
        <w:t>A 35-hour execution plan is proposed: 5 hours for problem framing and source mapping, 9 hours for collection, 8 hours for preprocessing and quality checks, 7 hours for exploratory analysis, 4 hours for visualization, and 2 hours for documentation and final review. The result should be a small analytical foundation that can later support demand forecasting, market selection, supplier-risk scoring, sustainability dashboards or anomaly detection.</w:t>
      </w:r>
    </w:p>
    <w:p>
      <w:pPr>
        <w:pStyle w:val="Heading1"/>
      </w:pPr>
      <w:r>
        <w:t>2. Industry Data Landscape and Current Signals</w:t>
      </w:r>
    </w:p>
    <w:p>
      <w:pPr>
        <w:pStyle w:val="Heading2"/>
      </w:pPr>
      <w:r>
        <w:t>2.1 Why the industry is data-intensive</w:t>
      </w:r>
    </w:p>
    <w:p>
      <w:pPr>
        <w:pStyle w:val="ListBullet"/>
      </w:pPr>
      <w:r>
        <w:t>The value chain is global: raw materials, yarns, fabrics, garment manufacturing, logistics, retail and end-of-life processing can occur in different countries.</w:t>
      </w:r>
    </w:p>
    <w:p>
      <w:pPr>
        <w:pStyle w:val="ListBullet"/>
      </w:pPr>
      <w:r>
        <w:t>Product categories are classification-heavy. International trade is usually represented through HS/SITC codes, while industrial production and business statistics may use NACE/CPA/PRODCOM or national classifications.</w:t>
      </w:r>
    </w:p>
    <w:p>
      <w:pPr>
        <w:pStyle w:val="ListBullet"/>
      </w:pPr>
      <w:r>
        <w:t>The industry is exposed to both commercial and non-commercial signals. Trade and production describe market activity, while labour, resource use, waste and regulatory indicators describe operational and sustainability risk.</w:t>
      </w:r>
    </w:p>
    <w:p>
      <w:pPr>
        <w:pStyle w:val="ListBullet"/>
      </w:pPr>
      <w:r>
        <w:t>Public datasets are often released at different frequencies. For example, WTO provides annual, quarterly and monthly merchandise trade views, while Eurostat PRODCOM is primarily annual.</w:t>
      </w:r>
    </w:p>
    <w:p>
      <w:pPr>
        <w:pStyle w:val="Heading2"/>
      </w:pPr>
      <w:r>
        <w:t>2.2 Key current signals relevant to an analytics strategy</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EDEDED"/>
          </w:tcPr>
          <w:p>
            <w:r/>
            <w:r>
              <w:rPr>
                <w:rFonts w:ascii="Aptos" w:hAnsi="Aptos"/>
                <w:b/>
                <w:sz w:val="18"/>
              </w:rPr>
              <w:t>Signal</w:t>
            </w:r>
          </w:p>
        </w:tc>
        <w:tc>
          <w:tcPr>
            <w:tcW w:type="dxa" w:w="5256"/>
            <w:vAlign w:val="center"/>
            <w:shd w:fill="EDEDED"/>
          </w:tcPr>
          <w:p>
            <w:r/>
            <w:r>
              <w:rPr>
                <w:rFonts w:ascii="Aptos" w:hAnsi="Aptos"/>
                <w:b/>
                <w:sz w:val="18"/>
              </w:rPr>
              <w:t>Evidence</w:t>
            </w:r>
          </w:p>
        </w:tc>
        <w:tc>
          <w:tcPr>
            <w:tcW w:type="dxa" w:w="3312"/>
            <w:vAlign w:val="center"/>
            <w:shd w:fill="EDEDED"/>
          </w:tcPr>
          <w:p>
            <w:r/>
            <w:r>
              <w:rPr>
                <w:rFonts w:ascii="Aptos" w:hAnsi="Aptos"/>
                <w:b/>
                <w:sz w:val="18"/>
              </w:rPr>
              <w:t>Analytics implication</w:t>
            </w:r>
          </w:p>
        </w:tc>
      </w:tr>
      <w:tr>
        <w:tc>
          <w:tcPr>
            <w:tcW w:type="dxa" w:w="2232"/>
            <w:vAlign w:val="center"/>
          </w:tcPr>
          <w:p>
            <w:r/>
            <w:r>
              <w:rPr>
                <w:rFonts w:ascii="Aptos" w:hAnsi="Aptos"/>
                <w:b w:val="0"/>
                <w:sz w:val="17"/>
              </w:rPr>
              <w:t>Circularity pressure is rising</w:t>
            </w:r>
          </w:p>
        </w:tc>
        <w:tc>
          <w:tcPr>
            <w:tcW w:type="dxa" w:w="5256"/>
            <w:vAlign w:val="center"/>
          </w:tcPr>
          <w:p>
            <w:r/>
            <w:r>
              <w:rPr>
                <w:rFonts w:ascii="Aptos" w:hAnsi="Aptos"/>
                <w:b w:val="0"/>
                <w:sz w:val="17"/>
              </w:rPr>
              <w:t>EEA reports that EU consumption of clothing, footwear and household textiles reached 19 kg/person in 2022, up from 17 kg/person in 2019. Textile consumption also ranks among the EU's largest household consumption pressure categories for raw materials, GHG emissions, water and land use.</w:t>
            </w:r>
          </w:p>
        </w:tc>
        <w:tc>
          <w:tcPr>
            <w:tcW w:type="dxa" w:w="3312"/>
            <w:vAlign w:val="center"/>
          </w:tcPr>
          <w:p>
            <w:r/>
            <w:r>
              <w:rPr>
                <w:rFonts w:ascii="Aptos" w:hAnsi="Aptos"/>
                <w:b w:val="0"/>
                <w:sz w:val="17"/>
              </w:rPr>
              <w:t>Demand, waste, reuse and material-efficiency dashboards become strategically relevant.</w:t>
            </w:r>
          </w:p>
        </w:tc>
      </w:tr>
      <w:tr>
        <w:tc>
          <w:tcPr>
            <w:tcW w:type="dxa" w:w="2232"/>
            <w:vAlign w:val="center"/>
          </w:tcPr>
          <w:p>
            <w:r/>
            <w:r>
              <w:rPr>
                <w:rFonts w:ascii="Aptos" w:hAnsi="Aptos"/>
                <w:b w:val="0"/>
                <w:sz w:val="17"/>
              </w:rPr>
              <w:t>Waste and collection are major data gaps</w:t>
            </w:r>
          </w:p>
        </w:tc>
        <w:tc>
          <w:tcPr>
            <w:tcW w:type="dxa" w:w="5256"/>
            <w:vAlign w:val="center"/>
          </w:tcPr>
          <w:p>
            <w:r/>
            <w:r>
              <w:rPr>
                <w:rFonts w:ascii="Aptos" w:hAnsi="Aptos"/>
                <w:b w:val="0"/>
                <w:sz w:val="17"/>
              </w:rPr>
              <w:t>EEA estimates about 6.94 million tonnes of textile waste in the EU in 2022, or roughly 16 kg/person. The average household textile-waste capture rate was just under 15%, leaving most waste outside separate collection.</w:t>
            </w:r>
          </w:p>
        </w:tc>
        <w:tc>
          <w:tcPr>
            <w:tcW w:type="dxa" w:w="3312"/>
            <w:vAlign w:val="center"/>
          </w:tcPr>
          <w:p>
            <w:r/>
            <w:r>
              <w:rPr>
                <w:rFonts w:ascii="Aptos" w:hAnsi="Aptos"/>
                <w:b w:val="0"/>
                <w:sz w:val="17"/>
              </w:rPr>
              <w:t>A company can track collection, reuse, recycling and disposal indicators as operational KPIs.</w:t>
            </w:r>
          </w:p>
        </w:tc>
      </w:tr>
      <w:tr>
        <w:tc>
          <w:tcPr>
            <w:tcW w:type="dxa" w:w="2232"/>
            <w:vAlign w:val="center"/>
          </w:tcPr>
          <w:p>
            <w:r/>
            <w:r>
              <w:rPr>
                <w:rFonts w:ascii="Aptos" w:hAnsi="Aptos"/>
                <w:b w:val="0"/>
                <w:sz w:val="17"/>
              </w:rPr>
              <w:t>Used-textile trade is significant</w:t>
            </w:r>
          </w:p>
        </w:tc>
        <w:tc>
          <w:tcPr>
            <w:tcW w:type="dxa" w:w="5256"/>
            <w:vAlign w:val="center"/>
          </w:tcPr>
          <w:p>
            <w:r/>
            <w:r>
              <w:rPr>
                <w:rFonts w:ascii="Aptos" w:hAnsi="Aptos"/>
                <w:b w:val="0"/>
                <w:sz w:val="17"/>
              </w:rPr>
              <w:t>EEA reports around 1.4 million tonnes of used textiles exported from the EU in 2023, with complex downstream reuse, recycling and disposal pathways.</w:t>
            </w:r>
          </w:p>
        </w:tc>
        <w:tc>
          <w:tcPr>
            <w:tcW w:type="dxa" w:w="3312"/>
            <w:vAlign w:val="center"/>
          </w:tcPr>
          <w:p>
            <w:r/>
            <w:r>
              <w:rPr>
                <w:rFonts w:ascii="Aptos" w:hAnsi="Aptos"/>
                <w:b w:val="0"/>
                <w:sz w:val="17"/>
              </w:rPr>
              <w:t>Trade data should be joined with waste/circularity data rather than analysed in isolation.</w:t>
            </w:r>
          </w:p>
        </w:tc>
      </w:tr>
      <w:tr>
        <w:tc>
          <w:tcPr>
            <w:tcW w:type="dxa" w:w="2232"/>
            <w:vAlign w:val="center"/>
          </w:tcPr>
          <w:p>
            <w:r/>
            <w:r>
              <w:rPr>
                <w:rFonts w:ascii="Aptos" w:hAnsi="Aptos"/>
                <w:b w:val="0"/>
                <w:sz w:val="17"/>
              </w:rPr>
              <w:t>Global trade remains a core signal</w:t>
            </w:r>
          </w:p>
        </w:tc>
        <w:tc>
          <w:tcPr>
            <w:tcW w:type="dxa" w:w="5256"/>
            <w:vAlign w:val="center"/>
          </w:tcPr>
          <w:p>
            <w:r/>
            <w:r>
              <w:rPr>
                <w:rFonts w:ascii="Aptos" w:hAnsi="Aptos"/>
                <w:b w:val="0"/>
                <w:sz w:val="17"/>
              </w:rPr>
              <w:t>WTO provides merchandise trade values and indices by economy/product, including annual, quarterly and monthly views; its portal covers more than 200 economies.</w:t>
            </w:r>
          </w:p>
        </w:tc>
        <w:tc>
          <w:tcPr>
            <w:tcW w:type="dxa" w:w="3312"/>
            <w:vAlign w:val="center"/>
          </w:tcPr>
          <w:p>
            <w:r/>
            <w:r>
              <w:rPr>
                <w:rFonts w:ascii="Aptos" w:hAnsi="Aptos"/>
                <w:b w:val="0"/>
                <w:sz w:val="17"/>
              </w:rPr>
              <w:t>Trade growth, partner concentration, product mix and seasonality can support market and sourcing decisions.</w:t>
            </w:r>
          </w:p>
        </w:tc>
      </w:tr>
      <w:tr>
        <w:tc>
          <w:tcPr>
            <w:tcW w:type="dxa" w:w="2232"/>
            <w:vAlign w:val="center"/>
          </w:tcPr>
          <w:p>
            <w:r/>
            <w:r>
              <w:rPr>
                <w:rFonts w:ascii="Aptos" w:hAnsi="Aptos"/>
                <w:b w:val="0"/>
                <w:sz w:val="17"/>
              </w:rPr>
              <w:t>Labour and productivity remain material</w:t>
            </w:r>
          </w:p>
        </w:tc>
        <w:tc>
          <w:tcPr>
            <w:tcW w:type="dxa" w:w="5256"/>
            <w:vAlign w:val="center"/>
          </w:tcPr>
          <w:p>
            <w:r/>
            <w:r>
              <w:rPr>
                <w:rFonts w:ascii="Aptos" w:hAnsi="Aptos"/>
                <w:b w:val="0"/>
                <w:sz w:val="17"/>
              </w:rPr>
              <w:t>ILO identifies textiles, apparel, leather and related products as a major employment sector and provides sectoral employment data. Its garment-sector research highlights employment, wages, productivity and working-condition differences across producing economies.</w:t>
            </w:r>
          </w:p>
        </w:tc>
        <w:tc>
          <w:tcPr>
            <w:tcW w:type="dxa" w:w="3312"/>
            <w:vAlign w:val="center"/>
          </w:tcPr>
          <w:p>
            <w:r/>
            <w:r>
              <w:rPr>
                <w:rFonts w:ascii="Aptos" w:hAnsi="Aptos"/>
                <w:b w:val="0"/>
                <w:sz w:val="17"/>
              </w:rPr>
              <w:t>Labour availability, wage trends and productivity can be incorporated into sourcing-risk analysis.</w:t>
            </w:r>
          </w:p>
        </w:tc>
      </w:tr>
      <w:tr>
        <w:tc>
          <w:tcPr>
            <w:tcW w:type="dxa" w:w="2232"/>
            <w:vAlign w:val="center"/>
          </w:tcPr>
          <w:p>
            <w:r/>
            <w:r>
              <w:rPr>
                <w:rFonts w:ascii="Aptos" w:hAnsi="Aptos"/>
                <w:b w:val="0"/>
                <w:sz w:val="17"/>
              </w:rPr>
              <w:t>Raw-material signals matter</w:t>
            </w:r>
          </w:p>
        </w:tc>
        <w:tc>
          <w:tcPr>
            <w:tcW w:type="dxa" w:w="5256"/>
            <w:vAlign w:val="center"/>
          </w:tcPr>
          <w:p>
            <w:r/>
            <w:r>
              <w:rPr>
                <w:rFonts w:ascii="Aptos" w:hAnsi="Aptos"/>
                <w:b w:val="0"/>
                <w:sz w:val="17"/>
              </w:rPr>
              <w:t>FAO's cotton market resources provide data and projections covering cotton production, consumption, trade and prices, making cotton a useful upstream indicator for textile analysis.</w:t>
            </w:r>
          </w:p>
        </w:tc>
        <w:tc>
          <w:tcPr>
            <w:tcW w:type="dxa" w:w="3312"/>
            <w:vAlign w:val="center"/>
          </w:tcPr>
          <w:p>
            <w:r/>
            <w:r>
              <w:rPr>
                <w:rFonts w:ascii="Aptos" w:hAnsi="Aptos"/>
                <w:b w:val="0"/>
                <w:sz w:val="17"/>
              </w:rPr>
              <w:t>Cotton price/output changes can be used as explanatory variables for material-cost and supply scenarios.</w:t>
            </w:r>
          </w:p>
        </w:tc>
      </w:tr>
    </w:tbl>
    <w:p>
      <w:pPr>
        <w:spacing w:after="40"/>
      </w:pPr>
    </w:p>
    <w:p>
      <w:pPr>
        <w:pStyle w:val="Heading1"/>
      </w:pPr>
      <w:r>
        <w:t>3. Priority Public Data Sources</w:t>
      </w:r>
    </w:p>
    <w:p>
      <w:r>
        <w:t>The following sources were selected because they are publicly accessible, relatively authoritative, complementary, and useful for a junior data scientist. A good project should not simply collect everything available; it should create a small set of high-value, traceable datasets.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944"/>
            <w:vAlign w:val="center"/>
            <w:shd w:fill="EDEDED"/>
          </w:tcPr>
          <w:p>
            <w:r/>
            <w:r>
              <w:rPr>
                <w:rFonts w:ascii="Aptos" w:hAnsi="Aptos"/>
                <w:b/>
                <w:sz w:val="18"/>
              </w:rPr>
              <w:t>Source</w:t>
            </w:r>
          </w:p>
        </w:tc>
        <w:tc>
          <w:tcPr>
            <w:tcW w:type="dxa" w:w="1584"/>
            <w:vAlign w:val="center"/>
            <w:shd w:fill="EDEDED"/>
          </w:tcPr>
          <w:p>
            <w:r/>
            <w:r>
              <w:rPr>
                <w:rFonts w:ascii="Aptos" w:hAnsi="Aptos"/>
                <w:b/>
                <w:sz w:val="18"/>
              </w:rPr>
              <w:t>Owner</w:t>
            </w:r>
          </w:p>
        </w:tc>
        <w:tc>
          <w:tcPr>
            <w:tcW w:type="dxa" w:w="3024"/>
            <w:vAlign w:val="center"/>
            <w:shd w:fill="EDEDED"/>
          </w:tcPr>
          <w:p>
            <w:r/>
            <w:r>
              <w:rPr>
                <w:rFonts w:ascii="Aptos" w:hAnsi="Aptos"/>
                <w:b/>
                <w:sz w:val="18"/>
              </w:rPr>
              <w:t>What it provides</w:t>
            </w:r>
          </w:p>
        </w:tc>
        <w:tc>
          <w:tcPr>
            <w:tcW w:type="dxa" w:w="2592"/>
            <w:vAlign w:val="center"/>
            <w:shd w:fill="EDEDED"/>
          </w:tcPr>
          <w:p>
            <w:r/>
            <w:r>
              <w:rPr>
                <w:rFonts w:ascii="Aptos" w:hAnsi="Aptos"/>
                <w:b/>
                <w:sz w:val="18"/>
              </w:rPr>
              <w:t>Potential insight</w:t>
            </w:r>
          </w:p>
        </w:tc>
        <w:tc>
          <w:tcPr>
            <w:tcW w:type="dxa" w:w="1656"/>
            <w:vAlign w:val="center"/>
            <w:shd w:fill="EDEDED"/>
          </w:tcPr>
          <w:p>
            <w:r/>
            <w:r>
              <w:rPr>
                <w:rFonts w:ascii="Aptos" w:hAnsi="Aptos"/>
                <w:b/>
                <w:sz w:val="18"/>
              </w:rPr>
              <w:t>Main caveat</w:t>
            </w:r>
          </w:p>
        </w:tc>
      </w:tr>
      <w:tr>
        <w:tc>
          <w:tcPr>
            <w:tcW w:type="dxa" w:w="1944"/>
            <w:vAlign w:val="center"/>
          </w:tcPr>
          <w:p>
            <w:r/>
            <w:r>
              <w:rPr>
                <w:rFonts w:ascii="Aptos" w:hAnsi="Aptos"/>
                <w:b w:val="0"/>
                <w:sz w:val="17"/>
              </w:rPr>
              <w:t>1. UN Comtrade</w:t>
            </w:r>
          </w:p>
        </w:tc>
        <w:tc>
          <w:tcPr>
            <w:tcW w:type="dxa" w:w="1584"/>
            <w:vAlign w:val="center"/>
          </w:tcPr>
          <w:p>
            <w:r/>
            <w:r>
              <w:rPr>
                <w:rFonts w:ascii="Aptos" w:hAnsi="Aptos"/>
                <w:b w:val="0"/>
                <w:sz w:val="17"/>
              </w:rPr>
              <w:t>UN Statistics Division</w:t>
            </w:r>
          </w:p>
        </w:tc>
        <w:tc>
          <w:tcPr>
            <w:tcW w:type="dxa" w:w="3024"/>
            <w:vAlign w:val="center"/>
          </w:tcPr>
          <w:p>
            <w:r/>
            <w:r>
              <w:rPr>
                <w:rFonts w:ascii="Aptos" w:hAnsi="Aptos"/>
                <w:b w:val="0"/>
                <w:sz w:val="17"/>
              </w:rPr>
              <w:t>Bilateral imports/exports by reporter, partner, commodity, year, value and quantity.</w:t>
            </w:r>
          </w:p>
        </w:tc>
        <w:tc>
          <w:tcPr>
            <w:tcW w:type="dxa" w:w="2592"/>
            <w:vAlign w:val="center"/>
          </w:tcPr>
          <w:p>
            <w:r/>
            <w:r>
              <w:rPr>
                <w:rFonts w:ascii="Aptos" w:hAnsi="Aptos"/>
                <w:b w:val="0"/>
                <w:sz w:val="17"/>
              </w:rPr>
              <w:t>Trade flows, market share, partner concentration, product mix, growth and mirror-trade checks.</w:t>
            </w:r>
          </w:p>
        </w:tc>
        <w:tc>
          <w:tcPr>
            <w:tcW w:type="dxa" w:w="1656"/>
            <w:vAlign w:val="center"/>
          </w:tcPr>
          <w:p>
            <w:r/>
            <w:r>
              <w:rPr>
                <w:rFonts w:ascii="Aptos" w:hAnsi="Aptos"/>
                <w:b w:val="0"/>
                <w:sz w:val="17"/>
              </w:rPr>
              <w:t>HS code mapping; reporter/partner naming; CIF vs FOB; missing/estimated values.</w:t>
            </w:r>
          </w:p>
        </w:tc>
      </w:tr>
      <w:tr>
        <w:tc>
          <w:tcPr>
            <w:tcW w:type="dxa" w:w="1944"/>
            <w:vAlign w:val="center"/>
          </w:tcPr>
          <w:p>
            <w:r/>
            <w:r>
              <w:rPr>
                <w:rFonts w:ascii="Aptos" w:hAnsi="Aptos"/>
                <w:b w:val="0"/>
                <w:sz w:val="17"/>
              </w:rPr>
              <w:t>2. World Bank WITS</w:t>
            </w:r>
          </w:p>
        </w:tc>
        <w:tc>
          <w:tcPr>
            <w:tcW w:type="dxa" w:w="1584"/>
            <w:vAlign w:val="center"/>
          </w:tcPr>
          <w:p>
            <w:r/>
            <w:r>
              <w:rPr>
                <w:rFonts w:ascii="Aptos" w:hAnsi="Aptos"/>
                <w:b w:val="0"/>
                <w:sz w:val="17"/>
              </w:rPr>
              <w:t>World Bank</w:t>
            </w:r>
          </w:p>
        </w:tc>
        <w:tc>
          <w:tcPr>
            <w:tcW w:type="dxa" w:w="3024"/>
            <w:vAlign w:val="center"/>
          </w:tcPr>
          <w:p>
            <w:r/>
            <w:r>
              <w:rPr>
                <w:rFonts w:ascii="Aptos" w:hAnsi="Aptos"/>
                <w:b w:val="0"/>
                <w:sz w:val="17"/>
              </w:rPr>
              <w:t>Trade statistics plus tariff/non-tariff information and analytical indicators; gateway to UN Comtrade, UNCTAD TRAINS and WTO tariff data.</w:t>
            </w:r>
          </w:p>
        </w:tc>
        <w:tc>
          <w:tcPr>
            <w:tcW w:type="dxa" w:w="2592"/>
            <w:vAlign w:val="center"/>
          </w:tcPr>
          <w:p>
            <w:r/>
            <w:r>
              <w:rPr>
                <w:rFonts w:ascii="Aptos" w:hAnsi="Aptos"/>
                <w:b w:val="0"/>
                <w:sz w:val="17"/>
              </w:rPr>
              <w:t>Market access, tariff exposure, export competitiveness, RCA, partner/product comparisons.</w:t>
            </w:r>
          </w:p>
        </w:tc>
        <w:tc>
          <w:tcPr>
            <w:tcW w:type="dxa" w:w="1656"/>
            <w:vAlign w:val="center"/>
          </w:tcPr>
          <w:p>
            <w:r/>
            <w:r>
              <w:rPr>
                <w:rFonts w:ascii="Aptos" w:hAnsi="Aptos"/>
                <w:b w:val="0"/>
                <w:sz w:val="17"/>
              </w:rPr>
              <w:t>Access rules differ by underlying database; classifications and tariff years must be aligned.</w:t>
            </w:r>
          </w:p>
        </w:tc>
      </w:tr>
      <w:tr>
        <w:tc>
          <w:tcPr>
            <w:tcW w:type="dxa" w:w="1944"/>
            <w:vAlign w:val="center"/>
          </w:tcPr>
          <w:p>
            <w:r/>
            <w:r>
              <w:rPr>
                <w:rFonts w:ascii="Aptos" w:hAnsi="Aptos"/>
                <w:b w:val="0"/>
                <w:sz w:val="17"/>
              </w:rPr>
              <w:t>3. WTO Stats / Merchandise Trade</w:t>
            </w:r>
          </w:p>
        </w:tc>
        <w:tc>
          <w:tcPr>
            <w:tcW w:type="dxa" w:w="1584"/>
            <w:vAlign w:val="center"/>
          </w:tcPr>
          <w:p>
            <w:r/>
            <w:r>
              <w:rPr>
                <w:rFonts w:ascii="Aptos" w:hAnsi="Aptos"/>
                <w:b w:val="0"/>
                <w:sz w:val="17"/>
              </w:rPr>
              <w:t>World Trade Organization</w:t>
            </w:r>
          </w:p>
        </w:tc>
        <w:tc>
          <w:tcPr>
            <w:tcW w:type="dxa" w:w="3024"/>
            <w:vAlign w:val="center"/>
          </w:tcPr>
          <w:p>
            <w:r/>
            <w:r>
              <w:rPr>
                <w:rFonts w:ascii="Aptos" w:hAnsi="Aptos"/>
                <w:b w:val="0"/>
                <w:sz w:val="17"/>
              </w:rPr>
              <w:t>Global merchandise exports/imports, values, volumes/indices and short-term trade views; data can be filtered by economy, product and period.</w:t>
            </w:r>
          </w:p>
        </w:tc>
        <w:tc>
          <w:tcPr>
            <w:tcW w:type="dxa" w:w="2592"/>
            <w:vAlign w:val="center"/>
          </w:tcPr>
          <w:p>
            <w:r/>
            <w:r>
              <w:rPr>
                <w:rFonts w:ascii="Aptos" w:hAnsi="Aptos"/>
                <w:b w:val="0"/>
                <w:sz w:val="17"/>
              </w:rPr>
              <w:t>Macro validation, trend benchmarking, seasonality and recent trade movement.</w:t>
            </w:r>
          </w:p>
        </w:tc>
        <w:tc>
          <w:tcPr>
            <w:tcW w:type="dxa" w:w="1656"/>
            <w:vAlign w:val="center"/>
          </w:tcPr>
          <w:p>
            <w:r/>
            <w:r>
              <w:rPr>
                <w:rFonts w:ascii="Aptos" w:hAnsi="Aptos"/>
                <w:b w:val="0"/>
                <w:sz w:val="17"/>
              </w:rPr>
              <w:t>Aggregation differs from detailed HS-level data; revisions and estimates must be tracked.</w:t>
            </w:r>
          </w:p>
        </w:tc>
      </w:tr>
      <w:tr>
        <w:tc>
          <w:tcPr>
            <w:tcW w:type="dxa" w:w="1944"/>
            <w:vAlign w:val="center"/>
          </w:tcPr>
          <w:p>
            <w:r/>
            <w:r>
              <w:rPr>
                <w:rFonts w:ascii="Aptos" w:hAnsi="Aptos"/>
                <w:b w:val="0"/>
                <w:sz w:val="17"/>
              </w:rPr>
              <w:t>4. Eurostat PRODCOM</w:t>
            </w:r>
          </w:p>
        </w:tc>
        <w:tc>
          <w:tcPr>
            <w:tcW w:type="dxa" w:w="1584"/>
            <w:vAlign w:val="center"/>
          </w:tcPr>
          <w:p>
            <w:r/>
            <w:r>
              <w:rPr>
                <w:rFonts w:ascii="Aptos" w:hAnsi="Aptos"/>
                <w:b w:val="0"/>
                <w:sz w:val="17"/>
              </w:rPr>
              <w:t>European Commission / Eurostat</w:t>
            </w:r>
          </w:p>
        </w:tc>
        <w:tc>
          <w:tcPr>
            <w:tcW w:type="dxa" w:w="3024"/>
            <w:vAlign w:val="center"/>
          </w:tcPr>
          <w:p>
            <w:r/>
            <w:r>
              <w:rPr>
                <w:rFonts w:ascii="Aptos" w:hAnsi="Aptos"/>
                <w:b w:val="0"/>
                <w:sz w:val="17"/>
              </w:rPr>
              <w:t>EU industrial production by product; sold production, actual production and subcontracted production variables.</w:t>
            </w:r>
          </w:p>
        </w:tc>
        <w:tc>
          <w:tcPr>
            <w:tcW w:type="dxa" w:w="2592"/>
            <w:vAlign w:val="center"/>
          </w:tcPr>
          <w:p>
            <w:r/>
            <w:r>
              <w:rPr>
                <w:rFonts w:ascii="Aptos" w:hAnsi="Aptos"/>
                <w:b w:val="0"/>
                <w:sz w:val="17"/>
              </w:rPr>
              <w:t>EU production capacity, product-level manufacturing trends and country comparisons.</w:t>
            </w:r>
          </w:p>
        </w:tc>
        <w:tc>
          <w:tcPr>
            <w:tcW w:type="dxa" w:w="1656"/>
            <w:vAlign w:val="center"/>
          </w:tcPr>
          <w:p>
            <w:r/>
            <w:r>
              <w:rPr>
                <w:rFonts w:ascii="Aptos" w:hAnsi="Aptos"/>
                <w:b w:val="0"/>
                <w:sz w:val="17"/>
              </w:rPr>
              <w:t>EU-focused coverage; annual release; PRODCOM/CN/NACE mappings need documentation.</w:t>
            </w:r>
          </w:p>
        </w:tc>
      </w:tr>
      <w:tr>
        <w:tc>
          <w:tcPr>
            <w:tcW w:type="dxa" w:w="1944"/>
            <w:vAlign w:val="center"/>
          </w:tcPr>
          <w:p>
            <w:r/>
            <w:r>
              <w:rPr>
                <w:rFonts w:ascii="Aptos" w:hAnsi="Aptos"/>
                <w:b w:val="0"/>
                <w:sz w:val="17"/>
              </w:rPr>
              <w:t>5. ILOSTAT / ILO sector data</w:t>
            </w:r>
          </w:p>
        </w:tc>
        <w:tc>
          <w:tcPr>
            <w:tcW w:type="dxa" w:w="1584"/>
            <w:vAlign w:val="center"/>
          </w:tcPr>
          <w:p>
            <w:r/>
            <w:r>
              <w:rPr>
                <w:rFonts w:ascii="Aptos" w:hAnsi="Aptos"/>
                <w:b w:val="0"/>
                <w:sz w:val="17"/>
              </w:rPr>
              <w:t>International Labour Organization</w:t>
            </w:r>
          </w:p>
        </w:tc>
        <w:tc>
          <w:tcPr>
            <w:tcW w:type="dxa" w:w="3024"/>
            <w:vAlign w:val="center"/>
          </w:tcPr>
          <w:p>
            <w:r/>
            <w:r>
              <w:rPr>
                <w:rFonts w:ascii="Aptos" w:hAnsi="Aptos"/>
                <w:b w:val="0"/>
                <w:sz w:val="17"/>
              </w:rPr>
              <w:t>Sectoral employment and related labour indicators, including textiles/apparel groupings; ILO research adds wages/productivity context.</w:t>
            </w:r>
          </w:p>
        </w:tc>
        <w:tc>
          <w:tcPr>
            <w:tcW w:type="dxa" w:w="2592"/>
            <w:vAlign w:val="center"/>
          </w:tcPr>
          <w:p>
            <w:r/>
            <w:r>
              <w:rPr>
                <w:rFonts w:ascii="Aptos" w:hAnsi="Aptos"/>
                <w:b w:val="0"/>
                <w:sz w:val="17"/>
              </w:rPr>
              <w:t>Labour availability, productivity, workforce trends and sourcing-risk context.</w:t>
            </w:r>
          </w:p>
        </w:tc>
        <w:tc>
          <w:tcPr>
            <w:tcW w:type="dxa" w:w="1656"/>
            <w:vAlign w:val="center"/>
          </w:tcPr>
          <w:p>
            <w:r/>
            <w:r>
              <w:rPr>
                <w:rFonts w:ascii="Aptos" w:hAnsi="Aptos"/>
                <w:b w:val="0"/>
                <w:sz w:val="17"/>
              </w:rPr>
              <w:t>Definitions differ by survey/country; informal employment and sector boundaries require care.</w:t>
            </w:r>
          </w:p>
        </w:tc>
      </w:tr>
      <w:tr>
        <w:tc>
          <w:tcPr>
            <w:tcW w:type="dxa" w:w="1944"/>
            <w:vAlign w:val="center"/>
          </w:tcPr>
          <w:p>
            <w:r/>
            <w:r>
              <w:rPr>
                <w:rFonts w:ascii="Aptos" w:hAnsi="Aptos"/>
                <w:b w:val="0"/>
                <w:sz w:val="17"/>
              </w:rPr>
              <w:t>6. FAOSTAT / OECD-FAO Cotton</w:t>
            </w:r>
          </w:p>
        </w:tc>
        <w:tc>
          <w:tcPr>
            <w:tcW w:type="dxa" w:w="1584"/>
            <w:vAlign w:val="center"/>
          </w:tcPr>
          <w:p>
            <w:r/>
            <w:r>
              <w:rPr>
                <w:rFonts w:ascii="Aptos" w:hAnsi="Aptos"/>
                <w:b w:val="0"/>
                <w:sz w:val="17"/>
              </w:rPr>
              <w:t>FAO</w:t>
            </w:r>
          </w:p>
        </w:tc>
        <w:tc>
          <w:tcPr>
            <w:tcW w:type="dxa" w:w="3024"/>
            <w:vAlign w:val="center"/>
          </w:tcPr>
          <w:p>
            <w:r/>
            <w:r>
              <w:rPr>
                <w:rFonts w:ascii="Aptos" w:hAnsi="Aptos"/>
                <w:b w:val="0"/>
                <w:sz w:val="17"/>
              </w:rPr>
              <w:t>Agricultural and cotton production/trade/consumption data plus medium-term market outlook.</w:t>
            </w:r>
          </w:p>
        </w:tc>
        <w:tc>
          <w:tcPr>
            <w:tcW w:type="dxa" w:w="2592"/>
            <w:vAlign w:val="center"/>
          </w:tcPr>
          <w:p>
            <w:r/>
            <w:r>
              <w:rPr>
                <w:rFonts w:ascii="Aptos" w:hAnsi="Aptos"/>
                <w:b w:val="0"/>
                <w:sz w:val="17"/>
              </w:rPr>
              <w:t>Raw-material supply, production cycles, price context and upstream risk.</w:t>
            </w:r>
          </w:p>
        </w:tc>
        <w:tc>
          <w:tcPr>
            <w:tcW w:type="dxa" w:w="1656"/>
            <w:vAlign w:val="center"/>
          </w:tcPr>
          <w:p>
            <w:r/>
            <w:r>
              <w:rPr>
                <w:rFonts w:ascii="Aptos" w:hAnsi="Aptos"/>
                <w:b w:val="0"/>
                <w:sz w:val="17"/>
              </w:rPr>
              <w:t>Agricultural seasons and textile fiscal years may not align; projections must be labelled separately from observed data.</w:t>
            </w:r>
          </w:p>
        </w:tc>
      </w:tr>
      <w:tr>
        <w:tc>
          <w:tcPr>
            <w:tcW w:type="dxa" w:w="1944"/>
            <w:vAlign w:val="center"/>
          </w:tcPr>
          <w:p>
            <w:r/>
            <w:r>
              <w:rPr>
                <w:rFonts w:ascii="Aptos" w:hAnsi="Aptos"/>
                <w:b w:val="0"/>
                <w:sz w:val="17"/>
              </w:rPr>
              <w:t>7. EEA Circularity Metrics Lab — Textiles</w:t>
            </w:r>
          </w:p>
        </w:tc>
        <w:tc>
          <w:tcPr>
            <w:tcW w:type="dxa" w:w="1584"/>
            <w:vAlign w:val="center"/>
          </w:tcPr>
          <w:p>
            <w:r/>
            <w:r>
              <w:rPr>
                <w:rFonts w:ascii="Aptos" w:hAnsi="Aptos"/>
                <w:b w:val="0"/>
                <w:sz w:val="17"/>
              </w:rPr>
              <w:t>European Environment Agency</w:t>
            </w:r>
          </w:p>
        </w:tc>
        <w:tc>
          <w:tcPr>
            <w:tcW w:type="dxa" w:w="3024"/>
            <w:vAlign w:val="center"/>
          </w:tcPr>
          <w:p>
            <w:r/>
            <w:r>
              <w:rPr>
                <w:rFonts w:ascii="Aptos" w:hAnsi="Aptos"/>
                <w:b w:val="0"/>
                <w:sz w:val="17"/>
              </w:rPr>
              <w:t>Textile consumption, waste generation, capture rates, reuse, treatment, synthetic-fibre share and environmental indicators.</w:t>
            </w:r>
          </w:p>
        </w:tc>
        <w:tc>
          <w:tcPr>
            <w:tcW w:type="dxa" w:w="2592"/>
            <w:vAlign w:val="center"/>
          </w:tcPr>
          <w:p>
            <w:r/>
            <w:r>
              <w:rPr>
                <w:rFonts w:ascii="Aptos" w:hAnsi="Aptos"/>
                <w:b w:val="0"/>
                <w:sz w:val="17"/>
              </w:rPr>
              <w:t>Circularity benchmarking, waste reduction, recycling and sustainability opportunity sizing.</w:t>
            </w:r>
          </w:p>
        </w:tc>
        <w:tc>
          <w:tcPr>
            <w:tcW w:type="dxa" w:w="1656"/>
            <w:vAlign w:val="center"/>
          </w:tcPr>
          <w:p>
            <w:r/>
            <w:r>
              <w:rPr>
                <w:rFonts w:ascii="Aptos" w:hAnsi="Aptos"/>
                <w:b w:val="0"/>
                <w:sz w:val="17"/>
              </w:rPr>
              <w:t>EU-specific; some indicators are estimates and have methodological caveats.</w:t>
            </w:r>
          </w:p>
        </w:tc>
      </w:tr>
    </w:tbl>
    <w:p>
      <w:pPr>
        <w:spacing w:after="40"/>
      </w:pPr>
    </w:p>
    <w:p>
      <w:pPr>
        <w:pStyle w:val="Heading2"/>
      </w:pPr>
      <w:r>
        <w:t>3.1 Recommended starting combination</w:t>
      </w:r>
    </w:p>
    <w:p>
      <w:r>
        <w:t xml:space="preserve">For the first analytical prototype, I would use five core sources rather than all seven: </w:t>
      </w:r>
    </w:p>
    <w:p>
      <w:r>
        <w:t xml:space="preserve">For the first analytical prototype, I would use five core sources rather than all seven: </w:t>
      </w:r>
      <w:r>
        <w:rPr>
          <w:b/>
        </w:rPr>
        <w:t>UN Comtrade + WTO + Eurostat PRODCOM + ILO + EEA</w:t>
      </w:r>
      <w:r>
        <w:t>. FAOSTAT should then be added if the analysis focuses on cotton/material-cost exposure. This sequence keeps the first project manageable while still connecting market activity, production, labour and circularity.</w:t>
      </w:r>
    </w:p>
    <w:p>
      <w:pPr>
        <w:pStyle w:val="Heading1"/>
      </w:pPr>
      <w:r>
        <w:t>4. Proposed Data Architecture — The Textile Data Spine</w:t>
      </w:r>
    </w:p>
    <w:p>
      <w:r>
        <w:t>The proposed architecture is deliberately simple. Each source remains in a raw layer; transformations create a standardized layer; analytical tables are built only after quality checks. This prevents a common junior-analyst mistake: overwriting raw values while cleaning.</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EDEDED"/>
          </w:tcPr>
          <w:p>
            <w:r/>
            <w:r>
              <w:rPr>
                <w:rFonts w:ascii="Aptos" w:hAnsi="Aptos"/>
                <w:b/>
                <w:sz w:val="18"/>
              </w:rPr>
              <w:t>Layer</w:t>
            </w:r>
          </w:p>
        </w:tc>
        <w:tc>
          <w:tcPr>
            <w:tcW w:type="dxa" w:w="4032"/>
            <w:vAlign w:val="center"/>
            <w:shd w:fill="EDEDED"/>
          </w:tcPr>
          <w:p>
            <w:r/>
            <w:r>
              <w:rPr>
                <w:rFonts w:ascii="Aptos" w:hAnsi="Aptos"/>
                <w:b/>
                <w:sz w:val="18"/>
              </w:rPr>
              <w:t>Purpose</w:t>
            </w:r>
          </w:p>
        </w:tc>
        <w:tc>
          <w:tcPr>
            <w:tcW w:type="dxa" w:w="5184"/>
            <w:vAlign w:val="center"/>
            <w:shd w:fill="EDEDED"/>
          </w:tcPr>
          <w:p>
            <w:r/>
            <w:r>
              <w:rPr>
                <w:rFonts w:ascii="Aptos" w:hAnsi="Aptos"/>
                <w:b/>
                <w:sz w:val="18"/>
              </w:rPr>
              <w:t>Example fields</w:t>
            </w:r>
          </w:p>
        </w:tc>
      </w:tr>
      <w:tr>
        <w:tc>
          <w:tcPr>
            <w:tcW w:type="dxa" w:w="1584"/>
            <w:vAlign w:val="center"/>
          </w:tcPr>
          <w:p>
            <w:r/>
            <w:r>
              <w:rPr>
                <w:rFonts w:ascii="Aptos" w:hAnsi="Aptos"/>
                <w:b w:val="0"/>
                <w:sz w:val="17"/>
              </w:rPr>
              <w:t>Raw</w:t>
            </w:r>
          </w:p>
        </w:tc>
        <w:tc>
          <w:tcPr>
            <w:tcW w:type="dxa" w:w="4032"/>
            <w:vAlign w:val="center"/>
          </w:tcPr>
          <w:p>
            <w:r/>
            <w:r>
              <w:rPr>
                <w:rFonts w:ascii="Aptos" w:hAnsi="Aptos"/>
                <w:b w:val="0"/>
                <w:sz w:val="17"/>
              </w:rPr>
              <w:t>Immutable downloaded source data.</w:t>
            </w:r>
          </w:p>
        </w:tc>
        <w:tc>
          <w:tcPr>
            <w:tcW w:type="dxa" w:w="5184"/>
            <w:vAlign w:val="center"/>
          </w:tcPr>
          <w:p>
            <w:r/>
            <w:r>
              <w:rPr>
                <w:rFonts w:ascii="Aptos" w:hAnsi="Aptos"/>
                <w:b w:val="0"/>
                <w:sz w:val="17"/>
              </w:rPr>
              <w:t>source, download_date, original_country, original_code, original_value</w:t>
            </w:r>
          </w:p>
        </w:tc>
      </w:tr>
      <w:tr>
        <w:tc>
          <w:tcPr>
            <w:tcW w:type="dxa" w:w="1584"/>
            <w:vAlign w:val="center"/>
          </w:tcPr>
          <w:p>
            <w:r/>
            <w:r>
              <w:rPr>
                <w:rFonts w:ascii="Aptos" w:hAnsi="Aptos"/>
                <w:b w:val="0"/>
                <w:sz w:val="17"/>
              </w:rPr>
              <w:t>Standardized</w:t>
            </w:r>
          </w:p>
        </w:tc>
        <w:tc>
          <w:tcPr>
            <w:tcW w:type="dxa" w:w="4032"/>
            <w:vAlign w:val="center"/>
          </w:tcPr>
          <w:p>
            <w:r/>
            <w:r>
              <w:rPr>
                <w:rFonts w:ascii="Aptos" w:hAnsi="Aptos"/>
                <w:b w:val="0"/>
                <w:sz w:val="17"/>
              </w:rPr>
              <w:t>Harmonize names, types, units and classifications.</w:t>
            </w:r>
          </w:p>
        </w:tc>
        <w:tc>
          <w:tcPr>
            <w:tcW w:type="dxa" w:w="5184"/>
            <w:vAlign w:val="center"/>
          </w:tcPr>
          <w:p>
            <w:r/>
            <w:r>
              <w:rPr>
                <w:rFonts w:ascii="Aptos" w:hAnsi="Aptos"/>
                <w:b w:val="0"/>
                <w:sz w:val="17"/>
              </w:rPr>
              <w:t>country_iso3, year, hs2/hs4, value_usd, quantity_kg</w:t>
            </w:r>
          </w:p>
        </w:tc>
      </w:tr>
      <w:tr>
        <w:tc>
          <w:tcPr>
            <w:tcW w:type="dxa" w:w="1584"/>
            <w:vAlign w:val="center"/>
          </w:tcPr>
          <w:p>
            <w:r/>
            <w:r>
              <w:rPr>
                <w:rFonts w:ascii="Aptos" w:hAnsi="Aptos"/>
                <w:b w:val="0"/>
                <w:sz w:val="17"/>
              </w:rPr>
              <w:t>Validated</w:t>
            </w:r>
          </w:p>
        </w:tc>
        <w:tc>
          <w:tcPr>
            <w:tcW w:type="dxa" w:w="4032"/>
            <w:vAlign w:val="center"/>
          </w:tcPr>
          <w:p>
            <w:r/>
            <w:r>
              <w:rPr>
                <w:rFonts w:ascii="Aptos" w:hAnsi="Aptos"/>
                <w:b w:val="0"/>
                <w:sz w:val="17"/>
              </w:rPr>
              <w:t>Quality-checked records with flags.</w:t>
            </w:r>
          </w:p>
        </w:tc>
        <w:tc>
          <w:tcPr>
            <w:tcW w:type="dxa" w:w="5184"/>
            <w:vAlign w:val="center"/>
          </w:tcPr>
          <w:p>
            <w:r/>
            <w:r>
              <w:rPr>
                <w:rFonts w:ascii="Aptos" w:hAnsi="Aptos"/>
                <w:b w:val="0"/>
                <w:sz w:val="17"/>
              </w:rPr>
              <w:t>missing_flag, duplicate_flag, outlier_flag, source_revision</w:t>
            </w:r>
          </w:p>
        </w:tc>
      </w:tr>
      <w:tr>
        <w:tc>
          <w:tcPr>
            <w:tcW w:type="dxa" w:w="1584"/>
            <w:vAlign w:val="center"/>
          </w:tcPr>
          <w:p>
            <w:r/>
            <w:r>
              <w:rPr>
                <w:rFonts w:ascii="Aptos" w:hAnsi="Aptos"/>
                <w:b w:val="0"/>
                <w:sz w:val="17"/>
              </w:rPr>
              <w:t>Analytical</w:t>
            </w:r>
          </w:p>
        </w:tc>
        <w:tc>
          <w:tcPr>
            <w:tcW w:type="dxa" w:w="4032"/>
            <w:vAlign w:val="center"/>
          </w:tcPr>
          <w:p>
            <w:r/>
            <w:r>
              <w:rPr>
                <w:rFonts w:ascii="Aptos" w:hAnsi="Aptos"/>
                <w:b w:val="0"/>
                <w:sz w:val="17"/>
              </w:rPr>
              <w:t>Business-ready metrics.</w:t>
            </w:r>
          </w:p>
        </w:tc>
        <w:tc>
          <w:tcPr>
            <w:tcW w:type="dxa" w:w="5184"/>
            <w:vAlign w:val="center"/>
          </w:tcPr>
          <w:p>
            <w:r/>
            <w:r>
              <w:rPr>
                <w:rFonts w:ascii="Aptos" w:hAnsi="Aptos"/>
                <w:b w:val="0"/>
                <w:sz w:val="17"/>
              </w:rPr>
              <w:t>export_growth, partner_share, RCA, waste_per_capita, production_growth</w:t>
            </w:r>
          </w:p>
        </w:tc>
      </w:tr>
      <w:tr>
        <w:tc>
          <w:tcPr>
            <w:tcW w:type="dxa" w:w="1584"/>
            <w:vAlign w:val="center"/>
          </w:tcPr>
          <w:p>
            <w:r/>
            <w:r>
              <w:rPr>
                <w:rFonts w:ascii="Aptos" w:hAnsi="Aptos"/>
                <w:b w:val="0"/>
                <w:sz w:val="17"/>
              </w:rPr>
              <w:t>Presentation</w:t>
            </w:r>
          </w:p>
        </w:tc>
        <w:tc>
          <w:tcPr>
            <w:tcW w:type="dxa" w:w="4032"/>
            <w:vAlign w:val="center"/>
          </w:tcPr>
          <w:p>
            <w:r/>
            <w:r>
              <w:rPr>
                <w:rFonts w:ascii="Aptos" w:hAnsi="Aptos"/>
                <w:b w:val="0"/>
                <w:sz w:val="17"/>
              </w:rPr>
              <w:t>Charts, dashboard tables and narrative outputs.</w:t>
            </w:r>
          </w:p>
        </w:tc>
        <w:tc>
          <w:tcPr>
            <w:tcW w:type="dxa" w:w="5184"/>
            <w:vAlign w:val="center"/>
          </w:tcPr>
          <w:p>
            <w:r/>
            <w:r>
              <w:rPr>
                <w:rFonts w:ascii="Aptos" w:hAnsi="Aptos"/>
                <w:b w:val="0"/>
                <w:sz w:val="17"/>
              </w:rPr>
              <w:t>market_rank, trend_series, risk_score, KPI</w:t>
            </w:r>
          </w:p>
        </w:tc>
      </w:tr>
    </w:tbl>
    <w:p>
      <w:pPr>
        <w:spacing w:after="40"/>
      </w:pPr>
    </w:p>
    <w:p>
      <w:pPr>
        <w:pStyle w:val="Heading2"/>
      </w:pPr>
      <w:r>
        <w:t>4.1 Common dimensions to standardize</w:t>
      </w:r>
    </w:p>
    <w:p>
      <w:pPr>
        <w:pStyle w:val="ListBullet"/>
      </w:pPr>
      <w:r>
        <w:t>Geography: ISO-3 country code plus source country name.</w:t>
      </w:r>
    </w:p>
    <w:p>
      <w:pPr>
        <w:pStyle w:val="ListBullet"/>
      </w:pPr>
      <w:r>
        <w:t>Time: calendar year and, where available, month/quarter; retain source frequency.</w:t>
      </w:r>
    </w:p>
    <w:p>
      <w:pPr>
        <w:pStyle w:val="ListBullet"/>
      </w:pPr>
      <w:r>
        <w:t>Product: original source code + mapped analytical group. Never discard the original code.</w:t>
      </w:r>
    </w:p>
    <w:p>
      <w:pPr>
        <w:pStyle w:val="ListBullet"/>
      </w:pPr>
      <w:r>
        <w:t>Units: separate monetary value, quantity, weight and index fields; never mix units in one column.</w:t>
      </w:r>
    </w:p>
    <w:p>
      <w:pPr>
        <w:pStyle w:val="ListBullet"/>
      </w:pPr>
      <w:r>
        <w:t>Source metadata: source name, dataset/version, download date, URL, transformation version and notes.</w:t>
      </w:r>
    </w:p>
    <w:p>
      <w:pPr>
        <w:pStyle w:val="ListBullet"/>
      </w:pPr>
      <w:r>
        <w:t>Quality flags: missing, estimated, duplicated, revised, classification-mismatch and outlier flags.</w:t>
      </w:r>
    </w:p>
    <w:p>
      <w:pPr>
        <w:pStyle w:val="Heading1"/>
      </w:pPr>
      <w:r>
        <w:t>5. Data-Driven Business Strategy</w:t>
      </w:r>
    </w:p>
    <w:p>
      <w:pPr>
        <w:pStyle w:val="Heading2"/>
      </w:pPr>
      <w:r>
        <w:t>5.1 Business questions</w:t>
      </w:r>
    </w:p>
    <w:p>
      <w:pPr>
        <w:pStyle w:val="ListBullet"/>
      </w:pPr>
      <w:r>
        <w:t>Which apparel/textile product categories are growing fastest by export value, volume and partner market?</w:t>
      </w:r>
    </w:p>
    <w:p>
      <w:pPr>
        <w:pStyle w:val="ListBullet"/>
      </w:pPr>
      <w:r>
        <w:t>Which countries are becoming more or less important as suppliers or buyers?</w:t>
      </w:r>
    </w:p>
    <w:p>
      <w:pPr>
        <w:pStyle w:val="ListBullet"/>
      </w:pPr>
      <w:r>
        <w:t>How concentrated is a product's export market? Is growth dependent on a small number of partners?</w:t>
      </w:r>
    </w:p>
    <w:p>
      <w:pPr>
        <w:pStyle w:val="ListBullet"/>
      </w:pPr>
      <w:r>
        <w:t>Do production trends in major manufacturing markets align with changes in trade?</w:t>
      </w:r>
    </w:p>
    <w:p>
      <w:pPr>
        <w:pStyle w:val="ListBullet"/>
      </w:pPr>
      <w:r>
        <w:t>Are labour-cost/productivity signals consistent with changes in export competitiveness?</w:t>
      </w:r>
    </w:p>
    <w:p>
      <w:pPr>
        <w:pStyle w:val="ListBullet"/>
      </w:pPr>
      <w:r>
        <w:t>Where do high consumption and high textile waste coexist, and what circularity gaps appear?</w:t>
      </w:r>
    </w:p>
    <w:p>
      <w:pPr>
        <w:pStyle w:val="ListBullet"/>
      </w:pPr>
      <w:r>
        <w:t>Can raw-material indicators such as cotton production and price explain changes in textile trade?</w:t>
      </w:r>
    </w:p>
    <w:p>
      <w:pPr>
        <w:pStyle w:val="Heading2"/>
      </w:pPr>
      <w:r>
        <w:t>5.2 Priority analytical metrics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EDEDED"/>
          </w:tcPr>
          <w:p>
            <w:r/>
            <w:r>
              <w:rPr>
                <w:rFonts w:ascii="Aptos" w:hAnsi="Aptos"/>
                <w:b/>
                <w:sz w:val="18"/>
              </w:rPr>
              <w:t>Metric</w:t>
            </w:r>
          </w:p>
        </w:tc>
        <w:tc>
          <w:tcPr>
            <w:tcW w:type="dxa" w:w="4608"/>
            <w:vAlign w:val="center"/>
            <w:shd w:fill="EDEDED"/>
          </w:tcPr>
          <w:p>
            <w:r/>
            <w:r>
              <w:rPr>
                <w:rFonts w:ascii="Aptos" w:hAnsi="Aptos"/>
                <w:b/>
                <w:sz w:val="18"/>
              </w:rPr>
              <w:t>Definition</w:t>
            </w:r>
          </w:p>
        </w:tc>
        <w:tc>
          <w:tcPr>
            <w:tcW w:type="dxa" w:w="3888"/>
            <w:vAlign w:val="center"/>
            <w:shd w:fill="EDEDED"/>
          </w:tcPr>
          <w:p>
            <w:r/>
            <w:r>
              <w:rPr>
                <w:rFonts w:ascii="Aptos" w:hAnsi="Aptos"/>
                <w:b/>
                <w:sz w:val="18"/>
              </w:rPr>
              <w:t>Decision use</w:t>
            </w:r>
          </w:p>
        </w:tc>
      </w:tr>
      <w:tr>
        <w:tc>
          <w:tcPr>
            <w:tcW w:type="dxa" w:w="2304"/>
            <w:vAlign w:val="center"/>
          </w:tcPr>
          <w:p>
            <w:r/>
            <w:r>
              <w:rPr>
                <w:rFonts w:ascii="Aptos" w:hAnsi="Aptos"/>
                <w:b w:val="0"/>
                <w:sz w:val="17"/>
              </w:rPr>
              <w:t>YoY trade growth</w:t>
            </w:r>
          </w:p>
        </w:tc>
        <w:tc>
          <w:tcPr>
            <w:tcW w:type="dxa" w:w="4608"/>
            <w:vAlign w:val="center"/>
          </w:tcPr>
          <w:p>
            <w:r/>
            <w:r>
              <w:rPr>
                <w:rFonts w:ascii="Aptos" w:hAnsi="Aptos"/>
                <w:b w:val="0"/>
                <w:sz w:val="17"/>
              </w:rPr>
              <w:t>(Value_t / Value_t-1) - 1</w:t>
            </w:r>
          </w:p>
        </w:tc>
        <w:tc>
          <w:tcPr>
            <w:tcW w:type="dxa" w:w="3888"/>
            <w:vAlign w:val="center"/>
          </w:tcPr>
          <w:p>
            <w:r/>
            <w:r>
              <w:rPr>
                <w:rFonts w:ascii="Aptos" w:hAnsi="Aptos"/>
                <w:b w:val="0"/>
                <w:sz w:val="17"/>
              </w:rPr>
              <w:t>Market momentum</w:t>
            </w:r>
          </w:p>
        </w:tc>
      </w:tr>
      <w:tr>
        <w:tc>
          <w:tcPr>
            <w:tcW w:type="dxa" w:w="2304"/>
            <w:vAlign w:val="center"/>
          </w:tcPr>
          <w:p>
            <w:r/>
            <w:r>
              <w:rPr>
                <w:rFonts w:ascii="Aptos" w:hAnsi="Aptos"/>
                <w:b w:val="0"/>
                <w:sz w:val="17"/>
              </w:rPr>
              <w:t>Partner share</w:t>
            </w:r>
          </w:p>
        </w:tc>
        <w:tc>
          <w:tcPr>
            <w:tcW w:type="dxa" w:w="4608"/>
            <w:vAlign w:val="center"/>
          </w:tcPr>
          <w:p>
            <w:r/>
            <w:r>
              <w:rPr>
                <w:rFonts w:ascii="Aptos" w:hAnsi="Aptos"/>
                <w:b w:val="0"/>
                <w:sz w:val="17"/>
              </w:rPr>
              <w:t>Partner trade / Total trade</w:t>
            </w:r>
          </w:p>
        </w:tc>
        <w:tc>
          <w:tcPr>
            <w:tcW w:type="dxa" w:w="3888"/>
            <w:vAlign w:val="center"/>
          </w:tcPr>
          <w:p>
            <w:r/>
            <w:r>
              <w:rPr>
                <w:rFonts w:ascii="Aptos" w:hAnsi="Aptos"/>
                <w:b w:val="0"/>
                <w:sz w:val="17"/>
              </w:rPr>
              <w:t>Customer/supplier concentration</w:t>
            </w:r>
          </w:p>
        </w:tc>
      </w:tr>
      <w:tr>
        <w:tc>
          <w:tcPr>
            <w:tcW w:type="dxa" w:w="2304"/>
            <w:vAlign w:val="center"/>
          </w:tcPr>
          <w:p>
            <w:r/>
            <w:r>
              <w:rPr>
                <w:rFonts w:ascii="Aptos" w:hAnsi="Aptos"/>
                <w:b w:val="0"/>
                <w:sz w:val="17"/>
              </w:rPr>
              <w:t>HHI concentration</w:t>
            </w:r>
          </w:p>
        </w:tc>
        <w:tc>
          <w:tcPr>
            <w:tcW w:type="dxa" w:w="4608"/>
            <w:vAlign w:val="center"/>
          </w:tcPr>
          <w:p>
            <w:r/>
            <w:r>
              <w:rPr>
                <w:rFonts w:ascii="Aptos" w:hAnsi="Aptos"/>
                <w:b w:val="0"/>
                <w:sz w:val="17"/>
              </w:rPr>
              <w:t>Sum of squared partner shares</w:t>
            </w:r>
          </w:p>
        </w:tc>
        <w:tc>
          <w:tcPr>
            <w:tcW w:type="dxa" w:w="3888"/>
            <w:vAlign w:val="center"/>
          </w:tcPr>
          <w:p>
            <w:r/>
            <w:r>
              <w:rPr>
                <w:rFonts w:ascii="Aptos" w:hAnsi="Aptos"/>
                <w:b w:val="0"/>
                <w:sz w:val="17"/>
              </w:rPr>
              <w:t>Diversification risk</w:t>
            </w:r>
          </w:p>
        </w:tc>
      </w:tr>
      <w:tr>
        <w:tc>
          <w:tcPr>
            <w:tcW w:type="dxa" w:w="2304"/>
            <w:vAlign w:val="center"/>
          </w:tcPr>
          <w:p>
            <w:r/>
            <w:r>
              <w:rPr>
                <w:rFonts w:ascii="Aptos" w:hAnsi="Aptos"/>
                <w:b w:val="0"/>
                <w:sz w:val="17"/>
              </w:rPr>
              <w:t>Export market share</w:t>
            </w:r>
          </w:p>
        </w:tc>
        <w:tc>
          <w:tcPr>
            <w:tcW w:type="dxa" w:w="4608"/>
            <w:vAlign w:val="center"/>
          </w:tcPr>
          <w:p>
            <w:r/>
            <w:r>
              <w:rPr>
                <w:rFonts w:ascii="Aptos" w:hAnsi="Aptos"/>
                <w:b w:val="0"/>
                <w:sz w:val="17"/>
              </w:rPr>
              <w:t>Country exports / World exports for product</w:t>
            </w:r>
          </w:p>
        </w:tc>
        <w:tc>
          <w:tcPr>
            <w:tcW w:type="dxa" w:w="3888"/>
            <w:vAlign w:val="center"/>
          </w:tcPr>
          <w:p>
            <w:r/>
            <w:r>
              <w:rPr>
                <w:rFonts w:ascii="Aptos" w:hAnsi="Aptos"/>
                <w:b w:val="0"/>
                <w:sz w:val="17"/>
              </w:rPr>
              <w:t>Competitive position</w:t>
            </w:r>
          </w:p>
        </w:tc>
      </w:tr>
      <w:tr>
        <w:tc>
          <w:tcPr>
            <w:tcW w:type="dxa" w:w="2304"/>
            <w:vAlign w:val="center"/>
          </w:tcPr>
          <w:p>
            <w:r/>
            <w:r>
              <w:rPr>
                <w:rFonts w:ascii="Aptos" w:hAnsi="Aptos"/>
                <w:b w:val="0"/>
                <w:sz w:val="17"/>
              </w:rPr>
              <w:t>RCA</w:t>
            </w:r>
          </w:p>
        </w:tc>
        <w:tc>
          <w:tcPr>
            <w:tcW w:type="dxa" w:w="4608"/>
            <w:vAlign w:val="center"/>
          </w:tcPr>
          <w:p>
            <w:r/>
            <w:r>
              <w:rPr>
                <w:rFonts w:ascii="Aptos" w:hAnsi="Aptos"/>
                <w:b w:val="0"/>
                <w:sz w:val="17"/>
              </w:rPr>
              <w:t>Revealed Comparative Advantage</w:t>
            </w:r>
          </w:p>
        </w:tc>
        <w:tc>
          <w:tcPr>
            <w:tcW w:type="dxa" w:w="3888"/>
            <w:vAlign w:val="center"/>
          </w:tcPr>
          <w:p>
            <w:r/>
            <w:r>
              <w:rPr>
                <w:rFonts w:ascii="Aptos" w:hAnsi="Aptos"/>
                <w:b w:val="0"/>
                <w:sz w:val="17"/>
              </w:rPr>
              <w:t>Relative export specialization</w:t>
            </w:r>
          </w:p>
        </w:tc>
      </w:tr>
      <w:tr>
        <w:tc>
          <w:tcPr>
            <w:tcW w:type="dxa" w:w="2304"/>
            <w:vAlign w:val="center"/>
          </w:tcPr>
          <w:p>
            <w:r/>
            <w:r>
              <w:rPr>
                <w:rFonts w:ascii="Aptos" w:hAnsi="Aptos"/>
                <w:b w:val="0"/>
                <w:sz w:val="17"/>
              </w:rPr>
              <w:t>Production growth</w:t>
            </w:r>
          </w:p>
        </w:tc>
        <w:tc>
          <w:tcPr>
            <w:tcW w:type="dxa" w:w="4608"/>
            <w:vAlign w:val="center"/>
          </w:tcPr>
          <w:p>
            <w:r/>
            <w:r>
              <w:rPr>
                <w:rFonts w:ascii="Aptos" w:hAnsi="Aptos"/>
                <w:b w:val="0"/>
                <w:sz w:val="17"/>
              </w:rPr>
              <w:t>Change in production value/quantity</w:t>
            </w:r>
          </w:p>
        </w:tc>
        <w:tc>
          <w:tcPr>
            <w:tcW w:type="dxa" w:w="3888"/>
            <w:vAlign w:val="center"/>
          </w:tcPr>
          <w:p>
            <w:r/>
            <w:r>
              <w:rPr>
                <w:rFonts w:ascii="Aptos" w:hAnsi="Aptos"/>
                <w:b w:val="0"/>
                <w:sz w:val="17"/>
              </w:rPr>
              <w:t>Manufacturing trajectory</w:t>
            </w:r>
          </w:p>
        </w:tc>
      </w:tr>
      <w:tr>
        <w:tc>
          <w:tcPr>
            <w:tcW w:type="dxa" w:w="2304"/>
            <w:vAlign w:val="center"/>
          </w:tcPr>
          <w:p>
            <w:r/>
            <w:r>
              <w:rPr>
                <w:rFonts w:ascii="Aptos" w:hAnsi="Aptos"/>
                <w:b w:val="0"/>
                <w:sz w:val="17"/>
              </w:rPr>
              <w:t>Waste per capita</w:t>
            </w:r>
          </w:p>
        </w:tc>
        <w:tc>
          <w:tcPr>
            <w:tcW w:type="dxa" w:w="4608"/>
            <w:vAlign w:val="center"/>
          </w:tcPr>
          <w:p>
            <w:r/>
            <w:r>
              <w:rPr>
                <w:rFonts w:ascii="Aptos" w:hAnsi="Aptos"/>
                <w:b w:val="0"/>
                <w:sz w:val="17"/>
              </w:rPr>
              <w:t>Textile waste / population</w:t>
            </w:r>
          </w:p>
        </w:tc>
        <w:tc>
          <w:tcPr>
            <w:tcW w:type="dxa" w:w="3888"/>
            <w:vAlign w:val="center"/>
          </w:tcPr>
          <w:p>
            <w:r/>
            <w:r>
              <w:rPr>
                <w:rFonts w:ascii="Aptos" w:hAnsi="Aptos"/>
                <w:b w:val="0"/>
                <w:sz w:val="17"/>
              </w:rPr>
              <w:t>Circularity pressure</w:t>
            </w:r>
          </w:p>
        </w:tc>
      </w:tr>
      <w:tr>
        <w:tc>
          <w:tcPr>
            <w:tcW w:type="dxa" w:w="2304"/>
            <w:vAlign w:val="center"/>
          </w:tcPr>
          <w:p>
            <w:r/>
            <w:r>
              <w:rPr>
                <w:rFonts w:ascii="Aptos" w:hAnsi="Aptos"/>
                <w:b w:val="0"/>
                <w:sz w:val="17"/>
              </w:rPr>
              <w:t>Capture rate</w:t>
            </w:r>
          </w:p>
        </w:tc>
        <w:tc>
          <w:tcPr>
            <w:tcW w:type="dxa" w:w="4608"/>
            <w:vAlign w:val="center"/>
          </w:tcPr>
          <w:p>
            <w:r/>
            <w:r>
              <w:rPr>
                <w:rFonts w:ascii="Aptos" w:hAnsi="Aptos"/>
                <w:b w:val="0"/>
                <w:sz w:val="17"/>
              </w:rPr>
              <w:t>Separately collected waste / household textile waste</w:t>
            </w:r>
          </w:p>
        </w:tc>
        <w:tc>
          <w:tcPr>
            <w:tcW w:type="dxa" w:w="3888"/>
            <w:vAlign w:val="center"/>
          </w:tcPr>
          <w:p>
            <w:r/>
            <w:r>
              <w:rPr>
                <w:rFonts w:ascii="Aptos" w:hAnsi="Aptos"/>
                <w:b w:val="0"/>
                <w:sz w:val="17"/>
              </w:rPr>
              <w:t>Collection effectiveness</w:t>
            </w:r>
          </w:p>
        </w:tc>
      </w:tr>
    </w:tbl>
    <w:p>
      <w:pPr>
        <w:spacing w:after="40"/>
      </w:pPr>
    </w:p>
    <w:p>
      <w:pPr>
        <w:pStyle w:val="Heading2"/>
      </w:pPr>
      <w:r>
        <w:t>5.3 Example strategic insight chain</w:t>
      </w:r>
    </w:p>
    <w:p>
      <w:r>
        <w:t>A useful project should move from descriptive numbers to a decision chain. Example: identify a fast-growing apparel product → determine whether growth is broad or concentrated → compare major supplier countries → check production and labour indicators → examine tariff/market-access context → overlay circularity indicators → recommend whether the opportunity is market expansion, supplier diversification, efficiency improvement or circular-product positioning. This is more valuable than producing a dashboard with disconnected charts.</w:t>
      </w:r>
    </w:p>
    <w:p>
      <w:pPr>
        <w:pStyle w:val="Heading1"/>
      </w:pPr>
      <w:r>
        <w:t>6. Data Quality Challenges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EDEDED"/>
          </w:tcPr>
          <w:p>
            <w:r/>
            <w:r>
              <w:rPr>
                <w:rFonts w:ascii="Aptos" w:hAnsi="Aptos"/>
                <w:b/>
                <w:sz w:val="18"/>
              </w:rPr>
              <w:t>Issue</w:t>
            </w:r>
          </w:p>
        </w:tc>
        <w:tc>
          <w:tcPr>
            <w:tcW w:type="dxa" w:w="3672"/>
            <w:vAlign w:val="center"/>
            <w:shd w:fill="EDEDED"/>
          </w:tcPr>
          <w:p>
            <w:r/>
            <w:r>
              <w:rPr>
                <w:rFonts w:ascii="Aptos" w:hAnsi="Aptos"/>
                <w:b/>
                <w:sz w:val="18"/>
              </w:rPr>
              <w:t>Risk</w:t>
            </w:r>
          </w:p>
        </w:tc>
        <w:tc>
          <w:tcPr>
            <w:tcW w:type="dxa" w:w="4968"/>
            <w:vAlign w:val="center"/>
            <w:shd w:fill="EDEDED"/>
          </w:tcPr>
          <w:p>
            <w:r/>
            <w:r>
              <w:rPr>
                <w:rFonts w:ascii="Aptos" w:hAnsi="Aptos"/>
                <w:b/>
                <w:sz w:val="18"/>
              </w:rPr>
              <w:t>Initial mitigation</w:t>
            </w:r>
          </w:p>
        </w:tc>
      </w:tr>
      <w:tr>
        <w:tc>
          <w:tcPr>
            <w:tcW w:type="dxa" w:w="2088"/>
            <w:vAlign w:val="center"/>
          </w:tcPr>
          <w:p>
            <w:r/>
            <w:r>
              <w:rPr>
                <w:rFonts w:ascii="Aptos" w:hAnsi="Aptos"/>
                <w:b w:val="0"/>
                <w:sz w:val="17"/>
              </w:rPr>
              <w:t>Classification mismatch</w:t>
            </w:r>
          </w:p>
        </w:tc>
        <w:tc>
          <w:tcPr>
            <w:tcW w:type="dxa" w:w="3672"/>
            <w:vAlign w:val="center"/>
          </w:tcPr>
          <w:p>
            <w:r/>
            <w:r>
              <w:rPr>
                <w:rFonts w:ascii="Aptos" w:hAnsi="Aptos"/>
                <w:b w:val="0"/>
                <w:sz w:val="17"/>
              </w:rPr>
              <w:t>HS/SITC/PRODCOM/NACE/other classifications may not align.</w:t>
            </w:r>
          </w:p>
        </w:tc>
        <w:tc>
          <w:tcPr>
            <w:tcW w:type="dxa" w:w="4968"/>
            <w:vAlign w:val="center"/>
          </w:tcPr>
          <w:p>
            <w:r/>
            <w:r>
              <w:rPr>
                <w:rFonts w:ascii="Aptos" w:hAnsi="Aptos"/>
                <w:b w:val="0"/>
                <w:sz w:val="17"/>
              </w:rPr>
              <w:t>Maintain a mapping table; keep source codes; analyse at a common stable aggregation first.</w:t>
            </w:r>
          </w:p>
        </w:tc>
      </w:tr>
      <w:tr>
        <w:tc>
          <w:tcPr>
            <w:tcW w:type="dxa" w:w="2088"/>
            <w:vAlign w:val="center"/>
          </w:tcPr>
          <w:p>
            <w:r/>
            <w:r>
              <w:rPr>
                <w:rFonts w:ascii="Aptos" w:hAnsi="Aptos"/>
                <w:b w:val="0"/>
                <w:sz w:val="17"/>
              </w:rPr>
              <w:t>CIF vs FOB</w:t>
            </w:r>
          </w:p>
        </w:tc>
        <w:tc>
          <w:tcPr>
            <w:tcW w:type="dxa" w:w="3672"/>
            <w:vAlign w:val="center"/>
          </w:tcPr>
          <w:p>
            <w:r/>
            <w:r>
              <w:rPr>
                <w:rFonts w:ascii="Aptos" w:hAnsi="Aptos"/>
                <w:b w:val="0"/>
                <w:sz w:val="17"/>
              </w:rPr>
              <w:t>Import and export valuations are recorded on different bases in UN Comtrade.</w:t>
            </w:r>
          </w:p>
        </w:tc>
        <w:tc>
          <w:tcPr>
            <w:tcW w:type="dxa" w:w="4968"/>
            <w:vAlign w:val="center"/>
          </w:tcPr>
          <w:p>
            <w:r/>
            <w:r>
              <w:rPr>
                <w:rFonts w:ascii="Aptos" w:hAnsi="Aptos"/>
                <w:b w:val="0"/>
                <w:sz w:val="17"/>
              </w:rPr>
              <w:t>Do not compare raw import and export values as identical measures; use mirror-trade checks and document valuation.</w:t>
            </w:r>
          </w:p>
        </w:tc>
      </w:tr>
      <w:tr>
        <w:tc>
          <w:tcPr>
            <w:tcW w:type="dxa" w:w="2088"/>
            <w:vAlign w:val="center"/>
          </w:tcPr>
          <w:p>
            <w:r/>
            <w:r>
              <w:rPr>
                <w:rFonts w:ascii="Aptos" w:hAnsi="Aptos"/>
                <w:b w:val="0"/>
                <w:sz w:val="17"/>
              </w:rPr>
              <w:t>Missing data</w:t>
            </w:r>
          </w:p>
        </w:tc>
        <w:tc>
          <w:tcPr>
            <w:tcW w:type="dxa" w:w="3672"/>
            <w:vAlign w:val="center"/>
          </w:tcPr>
          <w:p>
            <w:r/>
            <w:r>
              <w:rPr>
                <w:rFonts w:ascii="Aptos" w:hAnsi="Aptos"/>
                <w:b w:val="0"/>
                <w:sz w:val="17"/>
              </w:rPr>
              <w:t>Countries/products may have gaps or suppressed values.</w:t>
            </w:r>
          </w:p>
        </w:tc>
        <w:tc>
          <w:tcPr>
            <w:tcW w:type="dxa" w:w="4968"/>
            <w:vAlign w:val="center"/>
          </w:tcPr>
          <w:p>
            <w:r/>
            <w:r>
              <w:rPr>
                <w:rFonts w:ascii="Aptos" w:hAnsi="Aptos"/>
                <w:b w:val="0"/>
                <w:sz w:val="17"/>
              </w:rPr>
              <w:t>Create missingness flags; distinguish zero from missing; avoid automatic zero-filling.</w:t>
            </w:r>
          </w:p>
        </w:tc>
      </w:tr>
      <w:tr>
        <w:tc>
          <w:tcPr>
            <w:tcW w:type="dxa" w:w="2088"/>
            <w:vAlign w:val="center"/>
          </w:tcPr>
          <w:p>
            <w:r/>
            <w:r>
              <w:rPr>
                <w:rFonts w:ascii="Aptos" w:hAnsi="Aptos"/>
                <w:b w:val="0"/>
                <w:sz w:val="17"/>
              </w:rPr>
              <w:t>Revisions</w:t>
            </w:r>
          </w:p>
        </w:tc>
        <w:tc>
          <w:tcPr>
            <w:tcW w:type="dxa" w:w="3672"/>
            <w:vAlign w:val="center"/>
          </w:tcPr>
          <w:p>
            <w:r/>
            <w:r>
              <w:rPr>
                <w:rFonts w:ascii="Aptos" w:hAnsi="Aptos"/>
                <w:b w:val="0"/>
                <w:sz w:val="17"/>
              </w:rPr>
              <w:t>Official datasets can be revised after initial release.</w:t>
            </w:r>
          </w:p>
        </w:tc>
        <w:tc>
          <w:tcPr>
            <w:tcW w:type="dxa" w:w="4968"/>
            <w:vAlign w:val="center"/>
          </w:tcPr>
          <w:p>
            <w:r/>
            <w:r>
              <w:rPr>
                <w:rFonts w:ascii="Aptos" w:hAnsi="Aptos"/>
                <w:b w:val="0"/>
                <w:sz w:val="17"/>
              </w:rPr>
              <w:t>Store download date/version; retain revision notes and rerun validation after updates.</w:t>
            </w:r>
          </w:p>
        </w:tc>
      </w:tr>
      <w:tr>
        <w:tc>
          <w:tcPr>
            <w:tcW w:type="dxa" w:w="2088"/>
            <w:vAlign w:val="center"/>
          </w:tcPr>
          <w:p>
            <w:r/>
            <w:r>
              <w:rPr>
                <w:rFonts w:ascii="Aptos" w:hAnsi="Aptos"/>
                <w:b w:val="0"/>
                <w:sz w:val="17"/>
              </w:rPr>
              <w:t>Different frequencies</w:t>
            </w:r>
          </w:p>
        </w:tc>
        <w:tc>
          <w:tcPr>
            <w:tcW w:type="dxa" w:w="3672"/>
            <w:vAlign w:val="center"/>
          </w:tcPr>
          <w:p>
            <w:r/>
            <w:r>
              <w:rPr>
                <w:rFonts w:ascii="Aptos" w:hAnsi="Aptos"/>
                <w:b w:val="0"/>
                <w:sz w:val="17"/>
              </w:rPr>
              <w:t>Monthly, quarterly and annual data can coexist.</w:t>
            </w:r>
          </w:p>
        </w:tc>
        <w:tc>
          <w:tcPr>
            <w:tcW w:type="dxa" w:w="4968"/>
            <w:vAlign w:val="center"/>
          </w:tcPr>
          <w:p>
            <w:r/>
            <w:r>
              <w:rPr>
                <w:rFonts w:ascii="Aptos" w:hAnsi="Aptos"/>
                <w:b w:val="0"/>
                <w:sz w:val="17"/>
              </w:rPr>
              <w:t>Aggregate only after defining a consistent period; preserve original frequency.</w:t>
            </w:r>
          </w:p>
        </w:tc>
      </w:tr>
      <w:tr>
        <w:tc>
          <w:tcPr>
            <w:tcW w:type="dxa" w:w="2088"/>
            <w:vAlign w:val="center"/>
          </w:tcPr>
          <w:p>
            <w:r/>
            <w:r>
              <w:rPr>
                <w:rFonts w:ascii="Aptos" w:hAnsi="Aptos"/>
                <w:b w:val="0"/>
                <w:sz w:val="17"/>
              </w:rPr>
              <w:t>Unit inconsistency</w:t>
            </w:r>
          </w:p>
        </w:tc>
        <w:tc>
          <w:tcPr>
            <w:tcW w:type="dxa" w:w="3672"/>
            <w:vAlign w:val="center"/>
          </w:tcPr>
          <w:p>
            <w:r/>
            <w:r>
              <w:rPr>
                <w:rFonts w:ascii="Aptos" w:hAnsi="Aptos"/>
                <w:b w:val="0"/>
                <w:sz w:val="17"/>
              </w:rPr>
              <w:t>Value, quantity, weight and index measures differ.</w:t>
            </w:r>
          </w:p>
        </w:tc>
        <w:tc>
          <w:tcPr>
            <w:tcW w:type="dxa" w:w="4968"/>
            <w:vAlign w:val="center"/>
          </w:tcPr>
          <w:p>
            <w:r/>
            <w:r>
              <w:rPr>
                <w:rFonts w:ascii="Aptos" w:hAnsi="Aptos"/>
                <w:b w:val="0"/>
                <w:sz w:val="17"/>
              </w:rPr>
              <w:t>Use explicit unit columns and conversion rules; never infer units from magnitude alone.</w:t>
            </w:r>
          </w:p>
        </w:tc>
      </w:tr>
      <w:tr>
        <w:tc>
          <w:tcPr>
            <w:tcW w:type="dxa" w:w="2088"/>
            <w:vAlign w:val="center"/>
          </w:tcPr>
          <w:p>
            <w:r/>
            <w:r>
              <w:rPr>
                <w:rFonts w:ascii="Aptos" w:hAnsi="Aptos"/>
                <w:b w:val="0"/>
                <w:sz w:val="17"/>
              </w:rPr>
              <w:t>Outliers</w:t>
            </w:r>
          </w:p>
        </w:tc>
        <w:tc>
          <w:tcPr>
            <w:tcW w:type="dxa" w:w="3672"/>
            <w:vAlign w:val="center"/>
          </w:tcPr>
          <w:p>
            <w:r/>
            <w:r>
              <w:rPr>
                <w:rFonts w:ascii="Aptos" w:hAnsi="Aptos"/>
                <w:b w:val="0"/>
                <w:sz w:val="17"/>
              </w:rPr>
              <w:t>Trade spikes can represent genuine events, reclassification or reporting errors.</w:t>
            </w:r>
          </w:p>
        </w:tc>
        <w:tc>
          <w:tcPr>
            <w:tcW w:type="dxa" w:w="4968"/>
            <w:vAlign w:val="center"/>
          </w:tcPr>
          <w:p>
            <w:r/>
            <w:r>
              <w:rPr>
                <w:rFonts w:ascii="Aptos" w:hAnsi="Aptos"/>
                <w:b w:val="0"/>
                <w:sz w:val="17"/>
              </w:rPr>
              <w:t>Use robust IQR/z-score screening plus source-level verification; flag rather than delete automatically.</w:t>
            </w:r>
          </w:p>
        </w:tc>
      </w:tr>
      <w:tr>
        <w:tc>
          <w:tcPr>
            <w:tcW w:type="dxa" w:w="2088"/>
            <w:vAlign w:val="center"/>
          </w:tcPr>
          <w:p>
            <w:r/>
            <w:r>
              <w:rPr>
                <w:rFonts w:ascii="Aptos" w:hAnsi="Aptos"/>
                <w:b w:val="0"/>
                <w:sz w:val="17"/>
              </w:rPr>
              <w:t>Country/entity changes</w:t>
            </w:r>
          </w:p>
        </w:tc>
        <w:tc>
          <w:tcPr>
            <w:tcW w:type="dxa" w:w="3672"/>
            <w:vAlign w:val="center"/>
          </w:tcPr>
          <w:p>
            <w:r/>
            <w:r>
              <w:rPr>
                <w:rFonts w:ascii="Aptos" w:hAnsi="Aptos"/>
                <w:b w:val="0"/>
                <w:sz w:val="17"/>
              </w:rPr>
              <w:t>Country names, territories and reporting areas can change.</w:t>
            </w:r>
          </w:p>
        </w:tc>
        <w:tc>
          <w:tcPr>
            <w:tcW w:type="dxa" w:w="4968"/>
            <w:vAlign w:val="center"/>
          </w:tcPr>
          <w:p>
            <w:r/>
            <w:r>
              <w:rPr>
                <w:rFonts w:ascii="Aptos" w:hAnsi="Aptos"/>
                <w:b w:val="0"/>
                <w:sz w:val="17"/>
              </w:rPr>
              <w:t>Use ISO codes plus a maintained source-to-standard geography table.</w:t>
            </w:r>
          </w:p>
        </w:tc>
      </w:tr>
      <w:tr>
        <w:tc>
          <w:tcPr>
            <w:tcW w:type="dxa" w:w="2088"/>
            <w:vAlign w:val="center"/>
          </w:tcPr>
          <w:p>
            <w:r/>
            <w:r>
              <w:rPr>
                <w:rFonts w:ascii="Aptos" w:hAnsi="Aptos"/>
                <w:b w:val="0"/>
                <w:sz w:val="17"/>
              </w:rPr>
              <w:t>Methodological estimates</w:t>
            </w:r>
          </w:p>
        </w:tc>
        <w:tc>
          <w:tcPr>
            <w:tcW w:type="dxa" w:w="3672"/>
            <w:vAlign w:val="center"/>
          </w:tcPr>
          <w:p>
            <w:r/>
            <w:r>
              <w:rPr>
                <w:rFonts w:ascii="Aptos" w:hAnsi="Aptos"/>
                <w:b w:val="0"/>
                <w:sz w:val="17"/>
              </w:rPr>
              <w:t>Some indicators are modelled/estimated rather than directly observed.</w:t>
            </w:r>
          </w:p>
        </w:tc>
        <w:tc>
          <w:tcPr>
            <w:tcW w:type="dxa" w:w="4968"/>
            <w:vAlign w:val="center"/>
          </w:tcPr>
          <w:p>
            <w:r/>
            <w:r>
              <w:rPr>
                <w:rFonts w:ascii="Aptos" w:hAnsi="Aptos"/>
                <w:b w:val="0"/>
                <w:sz w:val="17"/>
              </w:rPr>
              <w:t>Label observed vs estimated; do not mix them silently in KPI calculations.</w:t>
            </w:r>
          </w:p>
        </w:tc>
      </w:tr>
      <w:tr>
        <w:tc>
          <w:tcPr>
            <w:tcW w:type="dxa" w:w="2088"/>
            <w:vAlign w:val="center"/>
          </w:tcPr>
          <w:p>
            <w:r/>
            <w:r>
              <w:rPr>
                <w:rFonts w:ascii="Aptos" w:hAnsi="Aptos"/>
                <w:b w:val="0"/>
                <w:sz w:val="17"/>
              </w:rPr>
              <w:t>Double counting risk</w:t>
            </w:r>
          </w:p>
        </w:tc>
        <w:tc>
          <w:tcPr>
            <w:tcW w:type="dxa" w:w="3672"/>
            <w:vAlign w:val="center"/>
          </w:tcPr>
          <w:p>
            <w:r/>
            <w:r>
              <w:rPr>
                <w:rFonts w:ascii="Aptos" w:hAnsi="Aptos"/>
                <w:b w:val="0"/>
                <w:sz w:val="17"/>
              </w:rPr>
              <w:t>Combining overlapping sources can duplicate the same underlying trade data.</w:t>
            </w:r>
          </w:p>
        </w:tc>
        <w:tc>
          <w:tcPr>
            <w:tcW w:type="dxa" w:w="4968"/>
            <w:vAlign w:val="center"/>
          </w:tcPr>
          <w:p>
            <w:r/>
            <w:r>
              <w:rPr>
                <w:rFonts w:ascii="Aptos" w:hAnsi="Aptos"/>
                <w:b w:val="0"/>
                <w:sz w:val="17"/>
              </w:rPr>
              <w:t>Define a source hierarchy and use secondary sources primarily for validation.</w:t>
            </w:r>
          </w:p>
        </w:tc>
      </w:tr>
    </w:tbl>
    <w:p>
      <w:pPr>
        <w:spacing w:after="40"/>
      </w:pPr>
    </w:p>
    <w:p>
      <w:pPr>
        <w:pStyle w:val="Heading1"/>
      </w:pPr>
      <w:r>
        <w:t>7. Step-by-Step Execution Plan</w:t>
      </w:r>
    </w:p>
    <w:p>
      <w:pPr>
        <w:pStyle w:val="Heading2"/>
      </w:pPr>
      <w:r>
        <w:t>7.1 Phase A — Data collection</w:t>
      </w:r>
    </w:p>
    <w:p>
      <w:pPr>
        <w:pStyle w:val="ListNumber"/>
      </w:pPr>
      <w:r>
        <w:t>Freeze the analytical scope: apparel/textiles, target countries, time period and product aggregation.</w:t>
      </w:r>
    </w:p>
    <w:p>
      <w:pPr>
        <w:pStyle w:val="ListNumber"/>
      </w:pPr>
      <w:r>
        <w:t>Create a source register containing owner, URL, dataset name, update frequency, licence/access note and key variables.</w:t>
      </w:r>
    </w:p>
    <w:p>
      <w:pPr>
        <w:pStyle w:val="ListNumber"/>
      </w:pPr>
      <w:r>
        <w:t>Download a small pilot extract from each source before attempting large-scale collection.</w:t>
      </w:r>
    </w:p>
    <w:p>
      <w:pPr>
        <w:pStyle w:val="ListNumber"/>
      </w:pPr>
      <w:r>
        <w:t>Store raw files without editing and create a manifest with file name, source, date and row count.</w:t>
      </w:r>
    </w:p>
    <w:p>
      <w:pPr>
        <w:pStyle w:val="Heading2"/>
      </w:pPr>
      <w:r>
        <w:t>7.2 Phase B — Preprocessing</w:t>
      </w:r>
    </w:p>
    <w:p>
      <w:pPr>
        <w:pStyle w:val="ListNumber"/>
      </w:pPr>
      <w:r>
        <w:t>Profile columns, data types, missingness, duplicate keys and unit distributions.</w:t>
      </w:r>
    </w:p>
    <w:p>
      <w:pPr>
        <w:pStyle w:val="ListNumber"/>
      </w:pPr>
      <w:r>
        <w:t>Standardize country names/codes and date fields.</w:t>
      </w:r>
    </w:p>
    <w:p>
      <w:pPr>
        <w:pStyle w:val="ListNumber"/>
      </w:pPr>
      <w:r>
        <w:t>Create a product-code mapping table and start with broad, stable categories.</w:t>
      </w:r>
    </w:p>
    <w:p>
      <w:pPr>
        <w:pStyle w:val="ListNumber"/>
      </w:pPr>
      <w:r>
        <w:t>Normalize monetary and physical units where appropriate, while retaining original values.</w:t>
      </w:r>
    </w:p>
    <w:p>
      <w:pPr>
        <w:pStyle w:val="ListNumber"/>
      </w:pPr>
      <w:r>
        <w:t>Create quality flags rather than deleting suspicious records.</w:t>
      </w:r>
    </w:p>
    <w:p>
      <w:pPr>
        <w:pStyle w:val="ListNumber"/>
      </w:pPr>
      <w:r>
        <w:t>Build a reproducible cleaning script/notebook so the process can be rerun when sources are updated.</w:t>
      </w:r>
    </w:p>
    <w:p>
      <w:pPr>
        <w:pStyle w:val="Heading2"/>
      </w:pPr>
      <w:r>
        <w:t>7.3 Phase C — Preliminary analysis</w:t>
      </w:r>
    </w:p>
    <w:p>
      <w:pPr>
        <w:pStyle w:val="ListNumber"/>
      </w:pPr>
      <w:r>
        <w:t>Calculate YoY growth, partner shares and concentration measures.</w:t>
      </w:r>
    </w:p>
    <w:p>
      <w:pPr>
        <w:pStyle w:val="ListNumber"/>
      </w:pPr>
      <w:r>
        <w:t>Compare product growth across selected countries and time periods.</w:t>
      </w:r>
    </w:p>
    <w:p>
      <w:pPr>
        <w:pStyle w:val="ListNumber"/>
      </w:pPr>
      <w:r>
        <w:t>Cross-check trade trends with production and labour indicators.</w:t>
      </w:r>
    </w:p>
    <w:p>
      <w:pPr>
        <w:pStyle w:val="ListNumber"/>
      </w:pPr>
      <w:r>
        <w:t>Overlay circularity indicators for a sustainability lens.</w:t>
      </w:r>
    </w:p>
    <w:p>
      <w:pPr>
        <w:pStyle w:val="ListNumber"/>
      </w:pPr>
      <w:r>
        <w:t>Investigate the top 5 anomalies manually and record the explanation or unresolved status.</w:t>
      </w:r>
    </w:p>
    <w:p>
      <w:pPr>
        <w:pStyle w:val="Heading2"/>
      </w:pPr>
      <w:r>
        <w:t>7.4 Phase D — Visualization</w:t>
      </w:r>
    </w:p>
    <w:p>
      <w:pPr>
        <w:pStyle w:val="ListNumber"/>
      </w:pPr>
      <w:r>
        <w:t>Line chart: product trade trend over time.</w:t>
      </w:r>
    </w:p>
    <w:p>
      <w:pPr>
        <w:pStyle w:val="ListNumber"/>
      </w:pPr>
      <w:r>
        <w:t>Bar chart: top exporting/importing countries.</w:t>
      </w:r>
    </w:p>
    <w:p>
      <w:pPr>
        <w:pStyle w:val="ListNumber"/>
      </w:pPr>
      <w:r>
        <w:t>Heatmap: country × product growth.</w:t>
      </w:r>
    </w:p>
    <w:p>
      <w:pPr>
        <w:pStyle w:val="ListNumber"/>
      </w:pPr>
      <w:r>
        <w:t>Stacked/area chart: partner composition over time.</w:t>
      </w:r>
    </w:p>
    <w:p>
      <w:pPr>
        <w:pStyle w:val="ListNumber"/>
      </w:pPr>
      <w:r>
        <w:t>Scatter plot: production/labour indicator vs export performance.</w:t>
      </w:r>
    </w:p>
    <w:p>
      <w:pPr>
        <w:pStyle w:val="ListNumber"/>
      </w:pPr>
      <w:r>
        <w:t>KPI cards: trade growth, concentration, waste/capita and capture rate where available.</w:t>
      </w:r>
    </w:p>
    <w:p>
      <w:pPr>
        <w:pStyle w:val="Heading1"/>
      </w:pPr>
      <w:r>
        <w:t>8. 35-Hour Work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center"/>
            <w:shd w:fill="EDEDED"/>
          </w:tcPr>
          <w:p>
            <w:r/>
            <w:r>
              <w:rPr>
                <w:rFonts w:ascii="Aptos" w:hAnsi="Aptos"/>
                <w:b/>
                <w:sz w:val="18"/>
              </w:rPr>
              <w:t>Phase</w:t>
            </w:r>
          </w:p>
        </w:tc>
        <w:tc>
          <w:tcPr>
            <w:tcW w:type="dxa" w:w="936"/>
            <w:vAlign w:val="center"/>
            <w:shd w:fill="EDEDED"/>
          </w:tcPr>
          <w:p>
            <w:r/>
            <w:r>
              <w:rPr>
                <w:rFonts w:ascii="Aptos" w:hAnsi="Aptos"/>
                <w:b/>
                <w:sz w:val="18"/>
              </w:rPr>
              <w:t>Hours</w:t>
            </w:r>
          </w:p>
        </w:tc>
        <w:tc>
          <w:tcPr>
            <w:tcW w:type="dxa" w:w="5112"/>
            <w:vAlign w:val="center"/>
            <w:shd w:fill="EDEDED"/>
          </w:tcPr>
          <w:p>
            <w:r/>
            <w:r>
              <w:rPr>
                <w:rFonts w:ascii="Aptos" w:hAnsi="Aptos"/>
                <w:b/>
                <w:sz w:val="18"/>
              </w:rPr>
              <w:t>Activities</w:t>
            </w:r>
          </w:p>
        </w:tc>
        <w:tc>
          <w:tcPr>
            <w:tcW w:type="dxa" w:w="2520"/>
            <w:vAlign w:val="center"/>
            <w:shd w:fill="EDEDED"/>
          </w:tcPr>
          <w:p>
            <w:r/>
            <w:r>
              <w:rPr>
                <w:rFonts w:ascii="Aptos" w:hAnsi="Aptos"/>
                <w:b/>
                <w:sz w:val="18"/>
              </w:rPr>
              <w:t>Output</w:t>
            </w:r>
          </w:p>
        </w:tc>
      </w:tr>
      <w:tr>
        <w:tc>
          <w:tcPr>
            <w:tcW w:type="dxa" w:w="2376"/>
            <w:vAlign w:val="center"/>
          </w:tcPr>
          <w:p>
            <w:r/>
            <w:r>
              <w:rPr>
                <w:rFonts w:ascii="Aptos" w:hAnsi="Aptos"/>
                <w:b w:val="0"/>
                <w:sz w:val="17"/>
              </w:rPr>
              <w:t>1. Problem framing &amp; scope</w:t>
            </w:r>
          </w:p>
        </w:tc>
        <w:tc>
          <w:tcPr>
            <w:tcW w:type="dxa" w:w="936"/>
            <w:vAlign w:val="center"/>
          </w:tcPr>
          <w:p>
            <w:r/>
            <w:r>
              <w:rPr>
                <w:rFonts w:ascii="Aptos" w:hAnsi="Aptos"/>
                <w:b w:val="0"/>
                <w:sz w:val="17"/>
              </w:rPr>
              <w:t>2</w:t>
            </w:r>
          </w:p>
        </w:tc>
        <w:tc>
          <w:tcPr>
            <w:tcW w:type="dxa" w:w="5112"/>
            <w:vAlign w:val="center"/>
          </w:tcPr>
          <w:p>
            <w:r/>
            <w:r>
              <w:rPr>
                <w:rFonts w:ascii="Aptos" w:hAnsi="Aptos"/>
                <w:b w:val="0"/>
                <w:sz w:val="17"/>
              </w:rPr>
              <w:t>Define business questions, product scope, countries and period.</w:t>
            </w:r>
          </w:p>
        </w:tc>
        <w:tc>
          <w:tcPr>
            <w:tcW w:type="dxa" w:w="2520"/>
            <w:vAlign w:val="center"/>
          </w:tcPr>
          <w:p>
            <w:r/>
            <w:r>
              <w:rPr>
                <w:rFonts w:ascii="Aptos" w:hAnsi="Aptos"/>
                <w:b w:val="0"/>
                <w:sz w:val="17"/>
              </w:rPr>
              <w:t>Scope note + question list</w:t>
            </w:r>
          </w:p>
        </w:tc>
      </w:tr>
      <w:tr>
        <w:tc>
          <w:tcPr>
            <w:tcW w:type="dxa" w:w="2376"/>
            <w:vAlign w:val="center"/>
          </w:tcPr>
          <w:p>
            <w:r/>
            <w:r>
              <w:rPr>
                <w:rFonts w:ascii="Aptos" w:hAnsi="Aptos"/>
                <w:b w:val="0"/>
                <w:sz w:val="17"/>
              </w:rPr>
              <w:t>2. Source discovery &amp; metadata</w:t>
            </w:r>
          </w:p>
        </w:tc>
        <w:tc>
          <w:tcPr>
            <w:tcW w:type="dxa" w:w="936"/>
            <w:vAlign w:val="center"/>
          </w:tcPr>
          <w:p>
            <w:r/>
            <w:r>
              <w:rPr>
                <w:rFonts w:ascii="Aptos" w:hAnsi="Aptos"/>
                <w:b w:val="0"/>
                <w:sz w:val="17"/>
              </w:rPr>
              <w:t>3</w:t>
            </w:r>
          </w:p>
        </w:tc>
        <w:tc>
          <w:tcPr>
            <w:tcW w:type="dxa" w:w="5112"/>
            <w:vAlign w:val="center"/>
          </w:tcPr>
          <w:p>
            <w:r/>
            <w:r>
              <w:rPr>
                <w:rFonts w:ascii="Aptos" w:hAnsi="Aptos"/>
                <w:b w:val="0"/>
                <w:sz w:val="17"/>
              </w:rPr>
              <w:t>Evaluate source authority, variables, frequency and access.</w:t>
            </w:r>
          </w:p>
        </w:tc>
        <w:tc>
          <w:tcPr>
            <w:tcW w:type="dxa" w:w="2520"/>
            <w:vAlign w:val="center"/>
          </w:tcPr>
          <w:p>
            <w:r/>
            <w:r>
              <w:rPr>
                <w:rFonts w:ascii="Aptos" w:hAnsi="Aptos"/>
                <w:b w:val="0"/>
                <w:sz w:val="17"/>
              </w:rPr>
              <w:t>Source register</w:t>
            </w:r>
          </w:p>
        </w:tc>
      </w:tr>
      <w:tr>
        <w:tc>
          <w:tcPr>
            <w:tcW w:type="dxa" w:w="2376"/>
            <w:vAlign w:val="center"/>
          </w:tcPr>
          <w:p>
            <w:r/>
            <w:r>
              <w:rPr>
                <w:rFonts w:ascii="Aptos" w:hAnsi="Aptos"/>
                <w:b w:val="0"/>
                <w:sz w:val="17"/>
              </w:rPr>
              <w:t>3. Pilot data collection</w:t>
            </w:r>
          </w:p>
        </w:tc>
        <w:tc>
          <w:tcPr>
            <w:tcW w:type="dxa" w:w="936"/>
            <w:vAlign w:val="center"/>
          </w:tcPr>
          <w:p>
            <w:r/>
            <w:r>
              <w:rPr>
                <w:rFonts w:ascii="Aptos" w:hAnsi="Aptos"/>
                <w:b w:val="0"/>
                <w:sz w:val="17"/>
              </w:rPr>
              <w:t>4</w:t>
            </w:r>
          </w:p>
        </w:tc>
        <w:tc>
          <w:tcPr>
            <w:tcW w:type="dxa" w:w="5112"/>
            <w:vAlign w:val="center"/>
          </w:tcPr>
          <w:p>
            <w:r/>
            <w:r>
              <w:rPr>
                <w:rFonts w:ascii="Aptos" w:hAnsi="Aptos"/>
                <w:b w:val="0"/>
                <w:sz w:val="17"/>
              </w:rPr>
              <w:t>Download small extracts and test fields/API/manual downloads.</w:t>
            </w:r>
          </w:p>
        </w:tc>
        <w:tc>
          <w:tcPr>
            <w:tcW w:type="dxa" w:w="2520"/>
            <w:vAlign w:val="center"/>
          </w:tcPr>
          <w:p>
            <w:r/>
            <w:r>
              <w:rPr>
                <w:rFonts w:ascii="Aptos" w:hAnsi="Aptos"/>
                <w:b w:val="0"/>
                <w:sz w:val="17"/>
              </w:rPr>
              <w:t>Raw pilot files</w:t>
            </w:r>
          </w:p>
        </w:tc>
      </w:tr>
      <w:tr>
        <w:tc>
          <w:tcPr>
            <w:tcW w:type="dxa" w:w="2376"/>
            <w:vAlign w:val="center"/>
          </w:tcPr>
          <w:p>
            <w:r/>
            <w:r>
              <w:rPr>
                <w:rFonts w:ascii="Aptos" w:hAnsi="Aptos"/>
                <w:b w:val="0"/>
                <w:sz w:val="17"/>
              </w:rPr>
              <w:t>4. Full data collection</w:t>
            </w:r>
          </w:p>
        </w:tc>
        <w:tc>
          <w:tcPr>
            <w:tcW w:type="dxa" w:w="936"/>
            <w:vAlign w:val="center"/>
          </w:tcPr>
          <w:p>
            <w:r/>
            <w:r>
              <w:rPr>
                <w:rFonts w:ascii="Aptos" w:hAnsi="Aptos"/>
                <w:b w:val="0"/>
                <w:sz w:val="17"/>
              </w:rPr>
              <w:t>5</w:t>
            </w:r>
          </w:p>
        </w:tc>
        <w:tc>
          <w:tcPr>
            <w:tcW w:type="dxa" w:w="5112"/>
            <w:vAlign w:val="center"/>
          </w:tcPr>
          <w:p>
            <w:r/>
            <w:r>
              <w:rPr>
                <w:rFonts w:ascii="Aptos" w:hAnsi="Aptos"/>
                <w:b w:val="0"/>
                <w:sz w:val="17"/>
              </w:rPr>
              <w:t>Collect selected datasets and preserve raw versions.</w:t>
            </w:r>
          </w:p>
        </w:tc>
        <w:tc>
          <w:tcPr>
            <w:tcW w:type="dxa" w:w="2520"/>
            <w:vAlign w:val="center"/>
          </w:tcPr>
          <w:p>
            <w:r/>
            <w:r>
              <w:rPr>
                <w:rFonts w:ascii="Aptos" w:hAnsi="Aptos"/>
                <w:b w:val="0"/>
                <w:sz w:val="17"/>
              </w:rPr>
              <w:t>Raw data folder + manifest</w:t>
            </w:r>
          </w:p>
        </w:tc>
      </w:tr>
      <w:tr>
        <w:tc>
          <w:tcPr>
            <w:tcW w:type="dxa" w:w="2376"/>
            <w:vAlign w:val="center"/>
          </w:tcPr>
          <w:p>
            <w:r/>
            <w:r>
              <w:rPr>
                <w:rFonts w:ascii="Aptos" w:hAnsi="Aptos"/>
                <w:b w:val="0"/>
                <w:sz w:val="17"/>
              </w:rPr>
              <w:t>5. Data profiling</w:t>
            </w:r>
          </w:p>
        </w:tc>
        <w:tc>
          <w:tcPr>
            <w:tcW w:type="dxa" w:w="936"/>
            <w:vAlign w:val="center"/>
          </w:tcPr>
          <w:p>
            <w:r/>
            <w:r>
              <w:rPr>
                <w:rFonts w:ascii="Aptos" w:hAnsi="Aptos"/>
                <w:b w:val="0"/>
                <w:sz w:val="17"/>
              </w:rPr>
              <w:t>3</w:t>
            </w:r>
          </w:p>
        </w:tc>
        <w:tc>
          <w:tcPr>
            <w:tcW w:type="dxa" w:w="5112"/>
            <w:vAlign w:val="center"/>
          </w:tcPr>
          <w:p>
            <w:r/>
            <w:r>
              <w:rPr>
                <w:rFonts w:ascii="Aptos" w:hAnsi="Aptos"/>
                <w:b w:val="0"/>
                <w:sz w:val="17"/>
              </w:rPr>
              <w:t>Missingness, duplicates, types, ranges and unit checks.</w:t>
            </w:r>
          </w:p>
        </w:tc>
        <w:tc>
          <w:tcPr>
            <w:tcW w:type="dxa" w:w="2520"/>
            <w:vAlign w:val="center"/>
          </w:tcPr>
          <w:p>
            <w:r/>
            <w:r>
              <w:rPr>
                <w:rFonts w:ascii="Aptos" w:hAnsi="Aptos"/>
                <w:b w:val="0"/>
                <w:sz w:val="17"/>
              </w:rPr>
              <w:t>Quality profile</w:t>
            </w:r>
          </w:p>
        </w:tc>
      </w:tr>
      <w:tr>
        <w:tc>
          <w:tcPr>
            <w:tcW w:type="dxa" w:w="2376"/>
            <w:vAlign w:val="center"/>
          </w:tcPr>
          <w:p>
            <w:r/>
            <w:r>
              <w:rPr>
                <w:rFonts w:ascii="Aptos" w:hAnsi="Aptos"/>
                <w:b w:val="0"/>
                <w:sz w:val="17"/>
              </w:rPr>
              <w:t>6. Cleaning &amp; standardization</w:t>
            </w:r>
          </w:p>
        </w:tc>
        <w:tc>
          <w:tcPr>
            <w:tcW w:type="dxa" w:w="936"/>
            <w:vAlign w:val="center"/>
          </w:tcPr>
          <w:p>
            <w:r/>
            <w:r>
              <w:rPr>
                <w:rFonts w:ascii="Aptos" w:hAnsi="Aptos"/>
                <w:b w:val="0"/>
                <w:sz w:val="17"/>
              </w:rPr>
              <w:t>5</w:t>
            </w:r>
          </w:p>
        </w:tc>
        <w:tc>
          <w:tcPr>
            <w:tcW w:type="dxa" w:w="5112"/>
            <w:vAlign w:val="center"/>
          </w:tcPr>
          <w:p>
            <w:r/>
            <w:r>
              <w:rPr>
                <w:rFonts w:ascii="Aptos" w:hAnsi="Aptos"/>
                <w:b w:val="0"/>
                <w:sz w:val="17"/>
              </w:rPr>
              <w:t>Country/product/time/unit harmonization.</w:t>
            </w:r>
          </w:p>
        </w:tc>
        <w:tc>
          <w:tcPr>
            <w:tcW w:type="dxa" w:w="2520"/>
            <w:vAlign w:val="center"/>
          </w:tcPr>
          <w:p>
            <w:r/>
            <w:r>
              <w:rPr>
                <w:rFonts w:ascii="Aptos" w:hAnsi="Aptos"/>
                <w:b w:val="0"/>
                <w:sz w:val="17"/>
              </w:rPr>
              <w:t>Standardized tables</w:t>
            </w:r>
          </w:p>
        </w:tc>
      </w:tr>
      <w:tr>
        <w:tc>
          <w:tcPr>
            <w:tcW w:type="dxa" w:w="2376"/>
            <w:vAlign w:val="center"/>
          </w:tcPr>
          <w:p>
            <w:r/>
            <w:r>
              <w:rPr>
                <w:rFonts w:ascii="Aptos" w:hAnsi="Aptos"/>
                <w:b w:val="0"/>
                <w:sz w:val="17"/>
              </w:rPr>
              <w:t>7. Validation &amp; quality flags</w:t>
            </w:r>
          </w:p>
        </w:tc>
        <w:tc>
          <w:tcPr>
            <w:tcW w:type="dxa" w:w="936"/>
            <w:vAlign w:val="center"/>
          </w:tcPr>
          <w:p>
            <w:r/>
            <w:r>
              <w:rPr>
                <w:rFonts w:ascii="Aptos" w:hAnsi="Aptos"/>
                <w:b w:val="0"/>
                <w:sz w:val="17"/>
              </w:rPr>
              <w:t>3</w:t>
            </w:r>
          </w:p>
        </w:tc>
        <w:tc>
          <w:tcPr>
            <w:tcW w:type="dxa" w:w="5112"/>
            <w:vAlign w:val="center"/>
          </w:tcPr>
          <w:p>
            <w:r/>
            <w:r>
              <w:rPr>
                <w:rFonts w:ascii="Aptos" w:hAnsi="Aptos"/>
                <w:b w:val="0"/>
                <w:sz w:val="17"/>
              </w:rPr>
              <w:t>Cross-source checks, anomaly flags and revision notes.</w:t>
            </w:r>
          </w:p>
        </w:tc>
        <w:tc>
          <w:tcPr>
            <w:tcW w:type="dxa" w:w="2520"/>
            <w:vAlign w:val="center"/>
          </w:tcPr>
          <w:p>
            <w:r/>
            <w:r>
              <w:rPr>
                <w:rFonts w:ascii="Aptos" w:hAnsi="Aptos"/>
                <w:b w:val="0"/>
                <w:sz w:val="17"/>
              </w:rPr>
              <w:t>Validation log</w:t>
            </w:r>
          </w:p>
        </w:tc>
      </w:tr>
      <w:tr>
        <w:tc>
          <w:tcPr>
            <w:tcW w:type="dxa" w:w="2376"/>
            <w:vAlign w:val="center"/>
          </w:tcPr>
          <w:p>
            <w:r/>
            <w:r>
              <w:rPr>
                <w:rFonts w:ascii="Aptos" w:hAnsi="Aptos"/>
                <w:b w:val="0"/>
                <w:sz w:val="17"/>
              </w:rPr>
              <w:t>8. Exploratory analysis</w:t>
            </w:r>
          </w:p>
        </w:tc>
        <w:tc>
          <w:tcPr>
            <w:tcW w:type="dxa" w:w="936"/>
            <w:vAlign w:val="center"/>
          </w:tcPr>
          <w:p>
            <w:r/>
            <w:r>
              <w:rPr>
                <w:rFonts w:ascii="Aptos" w:hAnsi="Aptos"/>
                <w:b w:val="0"/>
                <w:sz w:val="17"/>
              </w:rPr>
              <w:t>4</w:t>
            </w:r>
          </w:p>
        </w:tc>
        <w:tc>
          <w:tcPr>
            <w:tcW w:type="dxa" w:w="5112"/>
            <w:vAlign w:val="center"/>
          </w:tcPr>
          <w:p>
            <w:r/>
            <w:r>
              <w:rPr>
                <w:rFonts w:ascii="Aptos" w:hAnsi="Aptos"/>
                <w:b w:val="0"/>
                <w:sz w:val="17"/>
              </w:rPr>
              <w:t>Growth, shares, concentration and comparative analysis.</w:t>
            </w:r>
          </w:p>
        </w:tc>
        <w:tc>
          <w:tcPr>
            <w:tcW w:type="dxa" w:w="2520"/>
            <w:vAlign w:val="center"/>
          </w:tcPr>
          <w:p>
            <w:r/>
            <w:r>
              <w:rPr>
                <w:rFonts w:ascii="Aptos" w:hAnsi="Aptos"/>
                <w:b w:val="0"/>
                <w:sz w:val="17"/>
              </w:rPr>
              <w:t>EDA notebook</w:t>
            </w:r>
          </w:p>
        </w:tc>
      </w:tr>
      <w:tr>
        <w:tc>
          <w:tcPr>
            <w:tcW w:type="dxa" w:w="2376"/>
            <w:vAlign w:val="center"/>
          </w:tcPr>
          <w:p>
            <w:r/>
            <w:r>
              <w:rPr>
                <w:rFonts w:ascii="Aptos" w:hAnsi="Aptos"/>
                <w:b w:val="0"/>
                <w:sz w:val="17"/>
              </w:rPr>
              <w:t>9. Visualization</w:t>
            </w:r>
          </w:p>
        </w:tc>
        <w:tc>
          <w:tcPr>
            <w:tcW w:type="dxa" w:w="936"/>
            <w:vAlign w:val="center"/>
          </w:tcPr>
          <w:p>
            <w:r/>
            <w:r>
              <w:rPr>
                <w:rFonts w:ascii="Aptos" w:hAnsi="Aptos"/>
                <w:b w:val="0"/>
                <w:sz w:val="17"/>
              </w:rPr>
              <w:t>2</w:t>
            </w:r>
          </w:p>
        </w:tc>
        <w:tc>
          <w:tcPr>
            <w:tcW w:type="dxa" w:w="5112"/>
            <w:vAlign w:val="center"/>
          </w:tcPr>
          <w:p>
            <w:r/>
            <w:r>
              <w:rPr>
                <w:rFonts w:ascii="Aptos" w:hAnsi="Aptos"/>
                <w:b w:val="0"/>
                <w:sz w:val="17"/>
              </w:rPr>
              <w:t>Build the core charts/KPIs.</w:t>
            </w:r>
          </w:p>
        </w:tc>
        <w:tc>
          <w:tcPr>
            <w:tcW w:type="dxa" w:w="2520"/>
            <w:vAlign w:val="center"/>
          </w:tcPr>
          <w:p>
            <w:r/>
            <w:r>
              <w:rPr>
                <w:rFonts w:ascii="Aptos" w:hAnsi="Aptos"/>
                <w:b w:val="0"/>
                <w:sz w:val="17"/>
              </w:rPr>
              <w:t>Chart set/dashboard draft</w:t>
            </w:r>
          </w:p>
        </w:tc>
      </w:tr>
      <w:tr>
        <w:tc>
          <w:tcPr>
            <w:tcW w:type="dxa" w:w="2376"/>
            <w:vAlign w:val="center"/>
          </w:tcPr>
          <w:p>
            <w:r/>
            <w:r>
              <w:rPr>
                <w:rFonts w:ascii="Aptos" w:hAnsi="Aptos"/>
                <w:b w:val="0"/>
                <w:sz w:val="17"/>
              </w:rPr>
              <w:t>10. Report, references &amp; review</w:t>
            </w:r>
          </w:p>
        </w:tc>
        <w:tc>
          <w:tcPr>
            <w:tcW w:type="dxa" w:w="936"/>
            <w:vAlign w:val="center"/>
          </w:tcPr>
          <w:p>
            <w:r/>
            <w:r>
              <w:rPr>
                <w:rFonts w:ascii="Aptos" w:hAnsi="Aptos"/>
                <w:b w:val="0"/>
                <w:sz w:val="17"/>
              </w:rPr>
              <w:t>2</w:t>
            </w:r>
          </w:p>
        </w:tc>
        <w:tc>
          <w:tcPr>
            <w:tcW w:type="dxa" w:w="5112"/>
            <w:vAlign w:val="center"/>
          </w:tcPr>
          <w:p>
            <w:r/>
            <w:r>
              <w:rPr>
                <w:rFonts w:ascii="Aptos" w:hAnsi="Aptos"/>
                <w:b w:val="0"/>
                <w:sz w:val="17"/>
              </w:rPr>
              <w:t>Document methods, findings, limitations and next steps.</w:t>
            </w:r>
          </w:p>
        </w:tc>
        <w:tc>
          <w:tcPr>
            <w:tcW w:type="dxa" w:w="2520"/>
            <w:vAlign w:val="center"/>
          </w:tcPr>
          <w:p>
            <w:r/>
            <w:r>
              <w:rPr>
                <w:rFonts w:ascii="Aptos" w:hAnsi="Aptos"/>
                <w:b w:val="0"/>
                <w:sz w:val="17"/>
              </w:rPr>
              <w:t>Final report</w:t>
            </w:r>
          </w:p>
        </w:tc>
      </w:tr>
    </w:tbl>
    <w:p>
      <w:pPr>
        <w:spacing w:after="40"/>
      </w:pPr>
    </w:p>
    <w:p>
      <w:r>
        <w:rPr>
          <w:b/>
        </w:rPr>
        <w:t>Total planned time: 35 hours</w:t>
      </w:r>
    </w:p>
    <w:p>
      <w:pPr>
        <w:pStyle w:val="Heading1"/>
      </w:pPr>
      <w:r>
        <w:t>9. Definition of Done</w:t>
      </w:r>
    </w:p>
    <w:p>
      <w:pPr>
        <w:pStyle w:val="ListBullet"/>
      </w:pPr>
      <w:r>
        <w:t>At least five public sources are documented with source owner, data content, intended use and limitations.</w:t>
      </w:r>
    </w:p>
    <w:p>
      <w:pPr>
        <w:pStyle w:val="ListBullet"/>
      </w:pPr>
      <w:r>
        <w:t>Raw and cleaned data are kept separately.</w:t>
      </w:r>
    </w:p>
    <w:p>
      <w:pPr>
        <w:pStyle w:val="ListBullet"/>
      </w:pPr>
      <w:r>
        <w:t>Every derived metric can be traced back to a source field and transformation rule.</w:t>
      </w:r>
    </w:p>
    <w:p>
      <w:pPr>
        <w:pStyle w:val="ListBullet"/>
      </w:pPr>
      <w:r>
        <w:t>Missing values, unit differences and classification differences are explicitly flagged.</w:t>
      </w:r>
    </w:p>
    <w:p>
      <w:pPr>
        <w:pStyle w:val="ListBullet"/>
      </w:pPr>
      <w:r>
        <w:t>At least five analytical questions are answered with reproducible calculations.</w:t>
      </w:r>
    </w:p>
    <w:p>
      <w:pPr>
        <w:pStyle w:val="ListBullet"/>
      </w:pPr>
      <w:r>
        <w:t>A compact visualization set communicates the most important findings.</w:t>
      </w:r>
    </w:p>
    <w:p>
      <w:pPr>
        <w:pStyle w:val="ListBullet"/>
      </w:pPr>
      <w:r>
        <w:t>The final report clearly separates observed facts, estimates, assumptions and recommendations.</w:t>
      </w:r>
    </w:p>
    <w:p>
      <w:pPr>
        <w:pStyle w:val="ListBullet"/>
      </w:pPr>
      <w:r>
        <w:t>A GitHub repository contains the reproducible analysis assets for technical internship submission.</w:t>
      </w:r>
    </w:p>
    <w:p>
      <w:pPr>
        <w:pStyle w:val="Heading1"/>
      </w:pPr>
      <w:r>
        <w:t>10. Recommended GitHub Project Structure</w:t>
      </w:r>
    </w:p>
    <w:p>
      <w:r>
        <w:t>Because the submission form states that a GitHub URL is compulsory for technical/software-related work, the safest approach is to create a small public repository containing the reproducible project assets rather than uploading only the Word report.</w:t>
      </w:r>
    </w:p>
    <w:p>
      <w:r>
        <w:rPr>
          <w:rFonts w:ascii="Consolas" w:hAnsi="Consolas"/>
          <w:sz w:val="18"/>
        </w:rPr>
        <w:t>apparel-textile-data-landscape/</w:t>
      </w:r>
    </w:p>
    <w:p>
      <w:r>
        <w:rPr>
          <w:rFonts w:ascii="Consolas" w:hAnsi="Consolas"/>
          <w:sz w:val="18"/>
        </w:rPr>
        <w:t>├── README.md</w:t>
      </w:r>
    </w:p>
    <w:p>
      <w:r>
        <w:rPr>
          <w:rFonts w:ascii="Consolas" w:hAnsi="Consolas"/>
          <w:sz w:val="18"/>
        </w:rPr>
        <w:t>├── report/</w:t>
      </w:r>
    </w:p>
    <w:p>
      <w:r>
        <w:rPr>
          <w:rFonts w:ascii="Consolas" w:hAnsi="Consolas"/>
          <w:sz w:val="18"/>
        </w:rPr>
        <w:t>│   └── Week_1_Data_Landscape_Strategy.docx</w:t>
      </w:r>
    </w:p>
    <w:p>
      <w:r>
        <w:rPr>
          <w:rFonts w:ascii="Consolas" w:hAnsi="Consolas"/>
          <w:sz w:val="18"/>
        </w:rPr>
        <w:t>├── data/</w:t>
      </w:r>
    </w:p>
    <w:p>
      <w:r>
        <w:rPr>
          <w:rFonts w:ascii="Consolas" w:hAnsi="Consolas"/>
          <w:sz w:val="18"/>
        </w:rPr>
        <w:t>│   ├── raw/              # source downloads; add large files to .gitignore if needed</w:t>
      </w:r>
    </w:p>
    <w:p>
      <w:r>
        <w:rPr>
          <w:rFonts w:ascii="Consolas" w:hAnsi="Consolas"/>
          <w:sz w:val="18"/>
        </w:rPr>
        <w:t>│   └── processed/</w:t>
      </w:r>
    </w:p>
    <w:p>
      <w:r>
        <w:rPr>
          <w:rFonts w:ascii="Consolas" w:hAnsi="Consolas"/>
          <w:sz w:val="18"/>
        </w:rPr>
        <w:t>├── notebooks/</w:t>
      </w:r>
    </w:p>
    <w:p>
      <w:r>
        <w:rPr>
          <w:rFonts w:ascii="Consolas" w:hAnsi="Consolas"/>
          <w:sz w:val="18"/>
        </w:rPr>
        <w:t>│   └── 01_data_landscape_eda.ipynb</w:t>
      </w:r>
    </w:p>
    <w:p>
      <w:r>
        <w:rPr>
          <w:rFonts w:ascii="Consolas" w:hAnsi="Consolas"/>
          <w:sz w:val="18"/>
        </w:rPr>
        <w:t>├── src/</w:t>
      </w:r>
    </w:p>
    <w:p>
      <w:r>
        <w:rPr>
          <w:rFonts w:ascii="Consolas" w:hAnsi="Consolas"/>
          <w:sz w:val="18"/>
        </w:rPr>
        <w:t>│   ├── ingestion.py</w:t>
      </w:r>
    </w:p>
    <w:p>
      <w:r>
        <w:rPr>
          <w:rFonts w:ascii="Consolas" w:hAnsi="Consolas"/>
          <w:sz w:val="18"/>
        </w:rPr>
        <w:t>│   ├── cleaning.py</w:t>
      </w:r>
    </w:p>
    <w:p>
      <w:r>
        <w:rPr>
          <w:rFonts w:ascii="Consolas" w:hAnsi="Consolas"/>
          <w:sz w:val="18"/>
        </w:rPr>
        <w:t>│   ├── validation.py</w:t>
      </w:r>
    </w:p>
    <w:p>
      <w:r>
        <w:rPr>
          <w:rFonts w:ascii="Consolas" w:hAnsi="Consolas"/>
          <w:sz w:val="18"/>
        </w:rPr>
        <w:t>│   └── metrics.py</w:t>
      </w:r>
    </w:p>
    <w:p>
      <w:r>
        <w:rPr>
          <w:rFonts w:ascii="Consolas" w:hAnsi="Consolas"/>
          <w:sz w:val="18"/>
        </w:rPr>
        <w:t>├── config/</w:t>
      </w:r>
    </w:p>
    <w:p>
      <w:r>
        <w:rPr>
          <w:rFonts w:ascii="Consolas" w:hAnsi="Consolas"/>
          <w:sz w:val="18"/>
        </w:rPr>
        <w:t>│   └── source_register.csv</w:t>
      </w:r>
    </w:p>
    <w:p>
      <w:r>
        <w:rPr>
          <w:rFonts w:ascii="Consolas" w:hAnsi="Consolas"/>
          <w:sz w:val="18"/>
        </w:rPr>
        <w:t>├── outputs/</w:t>
      </w:r>
    </w:p>
    <w:p>
      <w:r>
        <w:rPr>
          <w:rFonts w:ascii="Consolas" w:hAnsi="Consolas"/>
          <w:sz w:val="18"/>
        </w:rPr>
        <w:t>│   ├── figures/</w:t>
      </w:r>
    </w:p>
    <w:p>
      <w:r>
        <w:rPr>
          <w:rFonts w:ascii="Consolas" w:hAnsi="Consolas"/>
          <w:sz w:val="18"/>
        </w:rPr>
        <w:t>│   └── tables/</w:t>
      </w:r>
    </w:p>
    <w:p>
      <w:r>
        <w:rPr>
          <w:rFonts w:ascii="Consolas" w:hAnsi="Consolas"/>
          <w:sz w:val="18"/>
        </w:rPr>
        <w:t>└── requirements.txt</w:t>
      </w:r>
    </w:p>
    <w:p>
      <w:pPr>
        <w:pStyle w:val="Heading1"/>
      </w:pPr>
      <w:r>
        <w:t>11. Original Strategic Angle</w:t>
      </w:r>
    </w:p>
    <w:p>
      <w:r>
        <w:t>The distinctive element of this plan is the decision to treat apparel data as a connected system rather than a single sales dataset. The proposed Textile Data Spine intentionally connects five lenses: market demand, production capacity, labour capability, material exposure and circularity. The same product/country/time keys can therefore support commercial and sustainability questions without forcing all sources into a single raw table. This design is lightweight enough for a junior data scientist to implement in one work cycle, yet structured enough to become the foundation for future forecasting, supplier-risk scoring or dashboard automation.</w:t>
      </w:r>
    </w:p>
    <w:p>
      <w:pPr>
        <w:pStyle w:val="Heading1"/>
      </w:pPr>
      <w:r>
        <w:t>12. Conclusion</w:t>
      </w:r>
    </w:p>
    <w:p>
      <w:r>
        <w:t>The apparel and textiles industry offers a rich public-data environment, but the analytical opportunity comes from integration and disciplined data management rather than from data volume alone. The recommended approach starts with authoritative public sources, standardizes the most important dimensions, preserves provenance, flags uncertainty and then builds decision-oriented metrics. In the first 35 hours, the goal should be a reliable minimum viable analytical dataset and a clear set of business insights—not a complex production system. Once that foundation is stable, the same pipeline can be extended to forecasting, supplier diversification, market-entry analysis, sustainability measurement and anomaly detection.</w:t>
      </w:r>
    </w:p>
    <w:p>
      <w:pPr>
        <w:pStyle w:val="Heading1"/>
      </w:pPr>
      <w:r>
        <w:t>13. References and Public Data Portals</w:t>
      </w:r>
    </w:p>
    <w:p>
      <w:pPr>
        <w:spacing w:after="60"/>
      </w:pPr>
      <w:r>
        <w:rPr>
          <w:b/>
        </w:rPr>
        <w:t xml:space="preserve">European Environment Agency — Circularity of the EU textiles value chain in numbers: </w:t>
      </w:r>
      <w:r>
        <w:t>https://www.eea.europa.eu/en/analysis/publications/circularity-of-the-eu-textiles-value-chain-in-numbers</w:t>
      </w:r>
    </w:p>
    <w:p>
      <w:pPr>
        <w:spacing w:after="60"/>
      </w:pPr>
      <w:r>
        <w:rPr>
          <w:b/>
        </w:rPr>
        <w:t xml:space="preserve">European Environment Agency — Textiles Circularity Metrics Lab: </w:t>
      </w:r>
      <w:r>
        <w:t>https://www.eea.europa.eu/en/circularity/sectoral-modules/textiles</w:t>
      </w:r>
    </w:p>
    <w:p>
      <w:pPr>
        <w:spacing w:after="60"/>
      </w:pPr>
      <w:r>
        <w:rPr>
          <w:b/>
        </w:rPr>
        <w:t xml:space="preserve">European Environment Agency — Management of used and waste textiles: </w:t>
      </w:r>
      <w:r>
        <w:t>https://www.eea.europa.eu/en/analysis/publications/management-of-used-and-waste-textiles-in-europes-circular-economy</w:t>
      </w:r>
    </w:p>
    <w:p>
      <w:pPr>
        <w:spacing w:after="60"/>
      </w:pPr>
      <w:r>
        <w:rPr>
          <w:b/>
        </w:rPr>
        <w:t xml:space="preserve">World Trade Organization — Statistics on merchandise trade: </w:t>
      </w:r>
      <w:r>
        <w:t>https://data.wto.org/en/dataset/commerchandise</w:t>
      </w:r>
    </w:p>
    <w:p>
      <w:pPr>
        <w:spacing w:after="60"/>
      </w:pPr>
      <w:r>
        <w:rPr>
          <w:b/>
        </w:rPr>
        <w:t xml:space="preserve">World Trade Organization — Global trade statistics: </w:t>
      </w:r>
      <w:r>
        <w:t>https://www.wto.org/English/res_e/statis_e/statis_e.htm</w:t>
      </w:r>
    </w:p>
    <w:p>
      <w:pPr>
        <w:spacing w:after="60"/>
      </w:pPr>
      <w:r>
        <w:rPr>
          <w:b/>
        </w:rPr>
        <w:t xml:space="preserve">UN Comtrade — Trade Data: </w:t>
      </w:r>
      <w:r>
        <w:t>https://comtradeplus.un.org/TradeFlow</w:t>
      </w:r>
    </w:p>
    <w:p>
      <w:pPr>
        <w:spacing w:after="60"/>
      </w:pPr>
      <w:r>
        <w:rPr>
          <w:b/>
        </w:rPr>
        <w:t xml:space="preserve">World Bank — World Integrated Trade Solution (WITS): </w:t>
      </w:r>
      <w:r>
        <w:t>https://wits.worldbank.org/about_wits.html</w:t>
      </w:r>
    </w:p>
    <w:p>
      <w:pPr>
        <w:spacing w:after="60"/>
      </w:pPr>
      <w:r>
        <w:rPr>
          <w:b/>
        </w:rPr>
        <w:t xml:space="preserve">Eurostat — PRODCOM: </w:t>
      </w:r>
      <w:r>
        <w:t>https://ec.europa.eu/eurostat/web/prodcom</w:t>
      </w:r>
    </w:p>
    <w:p>
      <w:pPr>
        <w:spacing w:after="60"/>
      </w:pPr>
      <w:r>
        <w:rPr>
          <w:b/>
        </w:rPr>
        <w:t xml:space="preserve">ILO — Textiles, apparel, leather and related products: </w:t>
      </w:r>
      <w:r>
        <w:t>https://www.ilo.org/topics-and-sectors/industries-and-sectors/textiles-apparel-leather-and-related-products</w:t>
      </w:r>
    </w:p>
    <w:p>
      <w:pPr>
        <w:spacing w:after="60"/>
      </w:pPr>
      <w:r>
        <w:rPr>
          <w:b/>
        </w:rPr>
        <w:t xml:space="preserve">ILO — Employment, wages and productivity in the Asian garment sector: </w:t>
      </w:r>
      <w:r>
        <w:t>https://www.ilo.org/publications/employment-wages-and-productivity-asian-garment-sector-taking-stock-recent</w:t>
      </w:r>
    </w:p>
    <w:p>
      <w:pPr>
        <w:spacing w:after="60"/>
      </w:pPr>
      <w:r>
        <w:rPr>
          <w:b/>
        </w:rPr>
        <w:t xml:space="preserve">FAO — Cotton: Markets and Trade: </w:t>
      </w:r>
      <w:r>
        <w:t>https://www.fao.org/markets-and-trade/food-and-agricultural-markets-analysis-FAMA/cotton/en</w:t>
      </w:r>
    </w:p>
    <w:p>
      <w:pPr>
        <w:spacing w:after="60"/>
      </w:pPr>
      <w:r>
        <w:rPr>
          <w:b/>
        </w:rPr>
        <w:t xml:space="preserve">FAOSTAT: </w:t>
      </w:r>
      <w:r>
        <w:t>https://www.fao.org/faostat/en/</w:t>
      </w:r>
    </w:p>
    <w:p>
      <w:pPr>
        <w:pStyle w:val="Heading1"/>
      </w:pPr>
      <w:r>
        <w:t>Appendix A — Submission Description (200+ words)</w:t>
      </w:r>
    </w:p>
    <w:p>
      <w:r>
        <w:t>This report presents a structured data landscape strategy for the apparel and textiles industry, with the goal of showing how a Junior Data Scientist can convert fragmented public information into actionable business insight. The study focuses on five connected dimensions: international trade, industrial production, labour, raw materials and textile circularity. Rather than relying on a single dataset, the proposed approach combines complementary public sources including UN Comtrade, World Bank WITS, WTO trade statistics, Eurostat PRODCOM, ILO sector data, FAOSTAT/OECD-FAO cotton resources and the European Environment Agency's Circularity Metrics Lab. Each source is evaluated according to the type of data it provides, the business questions it can answer and the limitations that must be considered during analysis. A central proposal of the report is the 'Textile Data Spine', a lightweight analytical architecture that keeps raw source data separate from standardized, validated and business-ready layers. This makes the analysis reproducible and reduces common problems such as classification mismatch, missing values, unit inconsistency, duplicate records and confusion between observed and estimated indicators. The report also defines practical metrics such as year-over-year growth, partner share, concentration, revealed comparative advantage, production growth, waste per capita and textile-waste capture rate. Finally, a detailed 35-hour execution plan is provided, covering source discovery, collection, preprocessing, validation, exploratory analysis, visualization and documentation. The strategy is intentionally practical: the first objective is to establish a reliable minimum viable data foundation that can later support forecasting, supplier-risk analysis, market selection, sustainability dashboards and other advanced data-science applications.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Landscape Strategy &amp; Planning | Apparel &amp; Textiles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