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91"/>
          <w:sz w:val="24"/>
        </w:rPr>
        <w:t>WEEK 5 | FINAL INTERNSHIP REPORT</w:t>
      </w:r>
    </w:p>
    <w:p>
      <w:pPr>
        <w:jc w:val="center"/>
      </w:pPr>
      <w:r>
        <w:rPr>
          <w:b/>
          <w:color w:val="17365D"/>
          <w:sz w:val="54"/>
        </w:rPr>
        <w:t>Comprehensive Report &amp;\nStrategic Recommendations</w:t>
      </w:r>
    </w:p>
    <w:p>
      <w:pPr>
        <w:jc w:val="center"/>
      </w:pPr>
      <w:r>
        <w:rPr>
          <w:i/>
          <w:sz w:val="30"/>
        </w:rPr>
        <w:t>Apparel &amp; Textiles Data Analytics</w:t>
      </w:r>
    </w:p>
    <w:p/>
    <w:tbl>
      <w:tblPr>
        <w:tblW w:type="auto" w:w="0"/>
        <w:jc w:val="center"/>
        <w:tblLook w:firstColumn="1" w:firstRow="1" w:lastColumn="0" w:lastRow="0" w:noHBand="0" w:noVBand="1" w:val="04A0"/>
      </w:tblPr>
      <w:tblGrid>
        <w:gridCol w:w="4968"/>
        <w:gridCol w:w="4968"/>
      </w:tblGrid>
      <w:tr>
        <w:tc>
          <w:tcPr>
            <w:tcW w:type="dxa" w:w="4968"/>
            <w:vAlign w:val="center"/>
            <w:shd w:fill="DDEBF7"/>
          </w:tcPr>
          <w:p>
            <w:r/>
            <w:r>
              <w:rPr>
                <w:b/>
                <w:sz w:val="18"/>
              </w:rPr>
              <w:t>Project scope</w:t>
            </w:r>
          </w:p>
        </w:tc>
        <w:tc>
          <w:tcPr>
            <w:tcW w:type="dxa" w:w="4968"/>
            <w:vAlign w:val="center"/>
          </w:tcPr>
          <w:p>
            <w:r/>
            <w:r>
              <w:rPr>
                <w:b w:val="0"/>
                <w:sz w:val="18"/>
              </w:rPr>
              <w:t>Weeks 1–4 synthesis and forward roadmap</w:t>
            </w:r>
          </w:p>
        </w:tc>
      </w:tr>
      <w:tr>
        <w:tc>
          <w:tcPr>
            <w:tcW w:type="dxa" w:w="4968"/>
            <w:vAlign w:val="center"/>
            <w:shd w:fill="DDEBF7"/>
          </w:tcPr>
          <w:p>
            <w:r/>
            <w:r>
              <w:rPr>
                <w:b/>
                <w:sz w:val="18"/>
              </w:rPr>
              <w:t>Focus</w:t>
            </w:r>
          </w:p>
        </w:tc>
        <w:tc>
          <w:tcPr>
            <w:tcW w:type="dxa" w:w="4968"/>
            <w:vAlign w:val="center"/>
          </w:tcPr>
          <w:p>
            <w:r/>
            <w:r>
              <w:rPr>
                <w:b w:val="0"/>
                <w:sz w:val="18"/>
              </w:rPr>
              <w:t>Public data strategy, preparation, EDA, predictive modeling</w:t>
            </w:r>
          </w:p>
        </w:tc>
      </w:tr>
      <w:tr>
        <w:tc>
          <w:tcPr>
            <w:tcW w:type="dxa" w:w="4968"/>
            <w:vAlign w:val="center"/>
            <w:shd w:fill="DDEBF7"/>
          </w:tcPr>
          <w:p>
            <w:r/>
            <w:r>
              <w:rPr>
                <w:b/>
                <w:sz w:val="18"/>
              </w:rPr>
              <w:t>Prepared for</w:t>
            </w:r>
          </w:p>
        </w:tc>
        <w:tc>
          <w:tcPr>
            <w:tcW w:type="dxa" w:w="4968"/>
            <w:vAlign w:val="center"/>
          </w:tcPr>
          <w:p>
            <w:r/>
            <w:r>
              <w:rPr>
                <w:b w:val="0"/>
                <w:sz w:val="18"/>
              </w:rPr>
              <w:t>Internship final-week submission</w:t>
            </w:r>
          </w:p>
        </w:tc>
      </w:tr>
      <w:tr>
        <w:tc>
          <w:tcPr>
            <w:tcW w:type="dxa" w:w="4968"/>
            <w:vAlign w:val="center"/>
            <w:shd w:fill="DDEBF7"/>
          </w:tcPr>
          <w:p>
            <w:r/>
            <w:r>
              <w:rPr>
                <w:b/>
                <w:sz w:val="18"/>
              </w:rPr>
              <w:t>Planning note</w:t>
            </w:r>
          </w:p>
        </w:tc>
        <w:tc>
          <w:tcPr>
            <w:tcW w:type="dxa" w:w="4968"/>
            <w:vAlign w:val="center"/>
          </w:tcPr>
          <w:p>
            <w:r/>
            <w:r>
              <w:rPr>
                <w:b w:val="0"/>
                <w:sz w:val="18"/>
              </w:rPr>
              <w:t>Illustrative examples are clearly identified; no model is claimed as trained</w:t>
            </w:r>
          </w:p>
        </w:tc>
      </w:tr>
    </w:tbl>
    <w:p>
      <w:r>
        <w:br w:type="page"/>
      </w:r>
    </w:p>
    <w:p>
      <w:pPr>
        <w:pStyle w:val="Heading1"/>
      </w:pPr>
      <w:r>
        <w:t>Executive Summary</w:t>
      </w:r>
    </w:p>
    <w:p>
      <w:r>
        <w:t>This final report consolidates the four-week analytical plan for the apparel and textiles sector into one practical, decision-oriented roadmap. Week 1 identified the data landscape and business context; Week 2 set out collection, quality control, and preprocessing; Week 3 established exploratory data analysis (EDA) and visualization; and Week 4 designed a forecasting workflow with baseline comparisons and time-aware validation. The combined approach moves from trustworthy data to interpretable evidence and then to carefully tested forecasts.</w:t>
      </w:r>
    </w:p>
    <w:p>
      <w:r>
        <w:t>The recommended pilot is an annual trade-value monitoring and forecasting use case using a clearly defined product-country-year dataset. It is suitable for a public-data internship because trade data can support market screening and sourcing discussions, while remaining distinct from company-level retail sales, orders, margins, or inventory. The report recommends a staged implementation: build a documented dataset, profile its limitations, establish simple baselines, backtest candidate models, and translate only validated results into business actions.</w:t>
      </w:r>
    </w:p>
    <w:p>
      <w:r>
        <w:t>All numeric examples in this report are illustrative calculations—not observed industry findings or model outputs. Actual recommendations must be revisited after data collection, coverage checks, and validation.</w:t>
      </w:r>
    </w:p>
    <w:p>
      <w:pPr>
        <w:pStyle w:val="Heading1"/>
      </w:pPr>
      <w:r>
        <w:t>1. Purpose, Scope &amp; Business Context</w:t>
      </w:r>
    </w:p>
    <w:p>
      <w:pPr>
        <w:pStyle w:val="Heading2"/>
      </w:pPr>
      <w:r>
        <w:t>1.1 Purpose</w:t>
      </w:r>
    </w:p>
    <w:p>
      <w:r>
        <w:t>The purpose is to present an integrated strategy that a small analytics team could implement, audit, and improve. The central question is: how can public apparel/textile data be converted into reliable market signals that help prioritize further research and support planning?</w:t>
      </w:r>
    </w:p>
    <w:p>
      <w:pPr>
        <w:pStyle w:val="Heading2"/>
      </w:pPr>
      <w:r>
        <w:t>1.2 Scope and boundaries</w:t>
      </w:r>
    </w:p>
    <w:p>
      <w:pPr>
        <w:pStyle w:val="ListBullet"/>
      </w:pPr>
      <w:r>
        <w:t>Sector: apparel, textiles, and selected textile-related product categories.</w:t>
      </w:r>
    </w:p>
    <w:p>
      <w:pPr>
        <w:pStyle w:val="ListBullet"/>
      </w:pPr>
      <w:r>
        <w:t>Primary analytical unit for the pilot: product category × reporting country × calendar year.</w:t>
      </w:r>
    </w:p>
    <w:p>
      <w:pPr>
        <w:pStyle w:val="ListBullet"/>
      </w:pPr>
      <w:r>
        <w:t>Target candidate: annual export trade value for a defined product-country series; this is not equivalent to retail revenue or company sales.</w:t>
      </w:r>
    </w:p>
    <w:p>
      <w:pPr>
        <w:pStyle w:val="ListBullet"/>
      </w:pPr>
      <w:r>
        <w:t>Potential extensions: import dependence, partner concentration, production indicators, employment, sustainability indicators, and consumer-demand proxies.</w:t>
      </w:r>
    </w:p>
    <w:p>
      <w:pPr>
        <w:pStyle w:val="ListBullet"/>
      </w:pPr>
      <w:r>
        <w:t>Out of scope without additional licensed/company data: SKU-level demand, factory capacity, unit economics, supplier lead times, and firm-specific profitability.</w:t>
      </w:r>
    </w:p>
    <w:p>
      <w:pPr>
        <w:pStyle w:val="Heading2"/>
      </w:pPr>
      <w:r>
        <w:t>1.3 Decisions the analysis may inform</w:t>
      </w:r>
    </w:p>
    <w:p>
      <w:pPr>
        <w:pStyle w:val="ListBullet"/>
      </w:pPr>
      <w:r>
        <w:t>Which product-country combinations merit deeper market research?</w:t>
      </w:r>
    </w:p>
    <w:p>
      <w:pPr>
        <w:pStyle w:val="ListBullet"/>
      </w:pPr>
      <w:r>
        <w:t>Where are trade values rising, falling, or unusually volatile?</w:t>
      </w:r>
    </w:p>
    <w:p>
      <w:pPr>
        <w:pStyle w:val="ListBullet"/>
      </w:pPr>
      <w:r>
        <w:t>How concentrated is a market across trade partners?</w:t>
      </w:r>
    </w:p>
    <w:p>
      <w:pPr>
        <w:pStyle w:val="ListBullet"/>
      </w:pPr>
      <w:r>
        <w:t>Which series are sufficiently complete and stable for forecasting?</w:t>
      </w:r>
    </w:p>
    <w:p>
      <w:pPr>
        <w:pStyle w:val="ListBullet"/>
      </w:pPr>
      <w:r>
        <w:t>What additional internal data would be needed before operational or financial decisions?</w:t>
      </w:r>
    </w:p>
    <w:p>
      <w:pPr>
        <w:pStyle w:val="Heading1"/>
      </w:pPr>
      <w:r>
        <w:t>2. Weeks 1–4: Integrated Work Summary</w:t>
      </w:r>
    </w:p>
    <w:tbl>
      <w:tblPr>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sz w:val="18"/>
              </w:rPr>
              <w:t>Workstream</w:t>
            </w:r>
          </w:p>
        </w:tc>
        <w:tc>
          <w:tcPr>
            <w:tcW w:type="dxa" w:w="3312"/>
            <w:vAlign w:val="center"/>
            <w:shd w:fill="17365D"/>
          </w:tcPr>
          <w:p>
            <w:r/>
            <w:r>
              <w:rPr>
                <w:b/>
                <w:sz w:val="18"/>
              </w:rPr>
              <w:t>Contribution</w:t>
            </w:r>
          </w:p>
        </w:tc>
        <w:tc>
          <w:tcPr>
            <w:tcW w:type="dxa" w:w="3312"/>
            <w:vAlign w:val="center"/>
            <w:shd w:fill="17365D"/>
          </w:tcPr>
          <w:p>
            <w:r/>
            <w:r>
              <w:rPr>
                <w:b/>
                <w:sz w:val="18"/>
              </w:rPr>
              <w:t>Output / control</w:t>
            </w:r>
          </w:p>
        </w:tc>
      </w:tr>
      <w:tr>
        <w:tc>
          <w:tcPr>
            <w:tcW w:type="dxa" w:w="3312"/>
            <w:vAlign w:val="center"/>
          </w:tcPr>
          <w:p>
            <w:r/>
            <w:r>
              <w:rPr>
                <w:b w:val="0"/>
                <w:sz w:val="18"/>
              </w:rPr>
              <w:t>Week 1 — Data landscape</w:t>
            </w:r>
          </w:p>
        </w:tc>
        <w:tc>
          <w:tcPr>
            <w:tcW w:type="dxa" w:w="3312"/>
            <w:vAlign w:val="center"/>
          </w:tcPr>
          <w:p>
            <w:r/>
            <w:r>
              <w:rPr>
                <w:b w:val="0"/>
                <w:sz w:val="18"/>
              </w:rPr>
              <w:t>Mapped business questions, candidate public sources, access routes, units, and limitations.</w:t>
            </w:r>
          </w:p>
        </w:tc>
        <w:tc>
          <w:tcPr>
            <w:tcW w:type="dxa" w:w="3312"/>
            <w:vAlign w:val="center"/>
          </w:tcPr>
          <w:p>
            <w:r/>
            <w:r>
              <w:rPr>
                <w:b w:val="0"/>
                <w:sz w:val="18"/>
              </w:rPr>
              <w:t>Source register; definitions; licensing and comparability checks.</w:t>
            </w:r>
          </w:p>
        </w:tc>
      </w:tr>
      <w:tr>
        <w:tc>
          <w:tcPr>
            <w:tcW w:type="dxa" w:w="3312"/>
            <w:vAlign w:val="center"/>
          </w:tcPr>
          <w:p>
            <w:r/>
            <w:r>
              <w:rPr>
                <w:b w:val="0"/>
                <w:sz w:val="18"/>
              </w:rPr>
              <w:t>Week 2 — Collection &amp; preprocessing</w:t>
            </w:r>
          </w:p>
        </w:tc>
        <w:tc>
          <w:tcPr>
            <w:tcW w:type="dxa" w:w="3312"/>
            <w:vAlign w:val="center"/>
          </w:tcPr>
          <w:p>
            <w:r/>
            <w:r>
              <w:rPr>
                <w:b w:val="0"/>
                <w:sz w:val="18"/>
              </w:rPr>
              <w:t>Designed reproducible acquisition, schema harmonization, missingness handling, and quality checks.</w:t>
            </w:r>
          </w:p>
        </w:tc>
        <w:tc>
          <w:tcPr>
            <w:tcW w:type="dxa" w:w="3312"/>
            <w:vAlign w:val="center"/>
          </w:tcPr>
          <w:p>
            <w:r/>
            <w:r>
              <w:rPr>
                <w:b w:val="0"/>
                <w:sz w:val="18"/>
              </w:rPr>
              <w:t>Raw/clean/analysis layers; data dictionary; validation log.</w:t>
            </w:r>
          </w:p>
        </w:tc>
      </w:tr>
      <w:tr>
        <w:tc>
          <w:tcPr>
            <w:tcW w:type="dxa" w:w="3312"/>
            <w:vAlign w:val="center"/>
          </w:tcPr>
          <w:p>
            <w:r/>
            <w:r>
              <w:rPr>
                <w:b w:val="0"/>
                <w:sz w:val="18"/>
              </w:rPr>
              <w:t>Week 3 — EDA &amp; visualization</w:t>
            </w:r>
          </w:p>
        </w:tc>
        <w:tc>
          <w:tcPr>
            <w:tcW w:type="dxa" w:w="3312"/>
            <w:vAlign w:val="center"/>
          </w:tcPr>
          <w:p>
            <w:r/>
            <w:r>
              <w:rPr>
                <w:b w:val="0"/>
                <w:sz w:val="18"/>
              </w:rPr>
              <w:t>Specified descriptive statistics, trend/correlation analysis, visual checks, and EDA-to-model decisions.</w:t>
            </w:r>
          </w:p>
        </w:tc>
        <w:tc>
          <w:tcPr>
            <w:tcW w:type="dxa" w:w="3312"/>
            <w:vAlign w:val="center"/>
          </w:tcPr>
          <w:p>
            <w:r/>
            <w:r>
              <w:rPr>
                <w:b w:val="0"/>
                <w:sz w:val="18"/>
              </w:rPr>
              <w:t>Profile report; annotated charts; documented anomalies.</w:t>
            </w:r>
          </w:p>
        </w:tc>
      </w:tr>
      <w:tr>
        <w:tc>
          <w:tcPr>
            <w:tcW w:type="dxa" w:w="3312"/>
            <w:vAlign w:val="center"/>
          </w:tcPr>
          <w:p>
            <w:r/>
            <w:r>
              <w:rPr>
                <w:b w:val="0"/>
                <w:sz w:val="18"/>
              </w:rPr>
              <w:t>Week 4 — Predictive modeling</w:t>
            </w:r>
          </w:p>
        </w:tc>
        <w:tc>
          <w:tcPr>
            <w:tcW w:type="dxa" w:w="3312"/>
            <w:vAlign w:val="center"/>
          </w:tcPr>
          <w:p>
            <w:r/>
            <w:r>
              <w:rPr>
                <w:b w:val="0"/>
                <w:sz w:val="18"/>
              </w:rPr>
              <w:t>Defined forecasting target, baseline and candidate algorithms, chronological validation, and error metrics.</w:t>
            </w:r>
          </w:p>
        </w:tc>
        <w:tc>
          <w:tcPr>
            <w:tcW w:type="dxa" w:w="3312"/>
            <w:vAlign w:val="center"/>
          </w:tcPr>
          <w:p>
            <w:r/>
            <w:r>
              <w:rPr>
                <w:b w:val="0"/>
                <w:sz w:val="18"/>
              </w:rPr>
              <w:t>Backtesting plan; MAE/RMSE reporting; leakage and overfit controls.</w:t>
            </w:r>
          </w:p>
        </w:tc>
      </w:tr>
    </w:tbl>
    <w:p>
      <w:r>
        <w:t>The workstreams form a dependency chain: modeling should not begin until source definitions, preprocessing rules, and EDA checks are sufficiently stable. If EDA exposes a break in definitions or coverage, the correct response is to repair or segment the data—not to force a model.</w:t>
      </w:r>
    </w:p>
    <w:p>
      <w:pPr>
        <w:pStyle w:val="Heading1"/>
      </w:pPr>
      <w:r>
        <w:t>3. Data Strategy &amp; Collection Blueprint</w:t>
      </w:r>
    </w:p>
    <w:p>
      <w:pPr>
        <w:pStyle w:val="Heading2"/>
      </w:pPr>
      <w:r>
        <w:t>3.1 Candidate source families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DEBF7"/>
          </w:tcPr>
          <w:p>
            <w:r/>
            <w:r>
              <w:rPr>
                <w:b/>
                <w:sz w:val="18"/>
              </w:rPr>
              <w:t>Source family</w:t>
            </w:r>
          </w:p>
        </w:tc>
        <w:tc>
          <w:tcPr>
            <w:tcW w:type="dxa" w:w="3312"/>
            <w:vAlign w:val="center"/>
            <w:shd w:fill="DDEBF7"/>
          </w:tcPr>
          <w:p>
            <w:r/>
            <w:r>
              <w:rPr>
                <w:b/>
                <w:sz w:val="18"/>
              </w:rPr>
              <w:t>Potential fields / role</w:t>
            </w:r>
          </w:p>
        </w:tc>
        <w:tc>
          <w:tcPr>
            <w:tcW w:type="dxa" w:w="3312"/>
            <w:vAlign w:val="center"/>
            <w:shd w:fill="DDEBF7"/>
          </w:tcPr>
          <w:p>
            <w:r/>
            <w:r>
              <w:rPr>
                <w:b/>
                <w:sz w:val="18"/>
              </w:rPr>
              <w:t>Key cautions</w:t>
            </w:r>
          </w:p>
        </w:tc>
      </w:tr>
      <w:tr>
        <w:tc>
          <w:tcPr>
            <w:tcW w:type="dxa" w:w="3312"/>
            <w:vAlign w:val="center"/>
          </w:tcPr>
          <w:p>
            <w:r/>
            <w:r>
              <w:rPr>
                <w:b w:val="0"/>
                <w:sz w:val="18"/>
              </w:rPr>
              <w:t>UN Comtrade / national trade statistics</w:t>
            </w:r>
          </w:p>
        </w:tc>
        <w:tc>
          <w:tcPr>
            <w:tcW w:type="dxa" w:w="3312"/>
            <w:vAlign w:val="center"/>
          </w:tcPr>
          <w:p>
            <w:r/>
            <w:r>
              <w:rPr>
                <w:b w:val="0"/>
                <w:sz w:val="18"/>
              </w:rPr>
              <w:t>Product-country-year exports/imports, partner, trade value, quantity where available.</w:t>
            </w:r>
          </w:p>
        </w:tc>
        <w:tc>
          <w:tcPr>
            <w:tcW w:type="dxa" w:w="3312"/>
            <w:vAlign w:val="center"/>
          </w:tcPr>
          <w:p>
            <w:r/>
            <w:r>
              <w:rPr>
                <w:b w:val="0"/>
                <w:sz w:val="18"/>
              </w:rPr>
              <w:t>HS revision changes, reporter/partner gaps, currency and valuation conventions.</w:t>
            </w:r>
          </w:p>
        </w:tc>
      </w:tr>
      <w:tr>
        <w:tc>
          <w:tcPr>
            <w:tcW w:type="dxa" w:w="3312"/>
            <w:vAlign w:val="center"/>
          </w:tcPr>
          <w:p>
            <w:r/>
            <w:r>
              <w:rPr>
                <w:b w:val="0"/>
                <w:sz w:val="18"/>
              </w:rPr>
              <w:t>Eurostat PRODCOM / structural business statistics</w:t>
            </w:r>
          </w:p>
        </w:tc>
        <w:tc>
          <w:tcPr>
            <w:tcW w:type="dxa" w:w="3312"/>
            <w:vAlign w:val="center"/>
          </w:tcPr>
          <w:p>
            <w:r/>
            <w:r>
              <w:rPr>
                <w:b w:val="0"/>
                <w:sz w:val="18"/>
              </w:rPr>
              <w:t>Selected production and business indicators, especially for European coverage.</w:t>
            </w:r>
          </w:p>
        </w:tc>
        <w:tc>
          <w:tcPr>
            <w:tcW w:type="dxa" w:w="3312"/>
            <w:vAlign w:val="center"/>
          </w:tcPr>
          <w:p>
            <w:r/>
            <w:r>
              <w:rPr>
                <w:b w:val="0"/>
                <w:sz w:val="18"/>
              </w:rPr>
              <w:t>Geographic and product coverage differ from global trade series.</w:t>
            </w:r>
          </w:p>
        </w:tc>
      </w:tr>
      <w:tr>
        <w:tc>
          <w:tcPr>
            <w:tcW w:type="dxa" w:w="3312"/>
            <w:vAlign w:val="center"/>
          </w:tcPr>
          <w:p>
            <w:r/>
            <w:r>
              <w:rPr>
                <w:b w:val="0"/>
                <w:sz w:val="18"/>
              </w:rPr>
              <w:t>ILOSTAT</w:t>
            </w:r>
          </w:p>
        </w:tc>
        <w:tc>
          <w:tcPr>
            <w:tcW w:type="dxa" w:w="3312"/>
            <w:vAlign w:val="center"/>
          </w:tcPr>
          <w:p>
            <w:r/>
            <w:r>
              <w:rPr>
                <w:b w:val="0"/>
                <w:sz w:val="18"/>
              </w:rPr>
              <w:t>Employment and labor indicators relevant to textile/apparel manufacturing.</w:t>
            </w:r>
          </w:p>
        </w:tc>
        <w:tc>
          <w:tcPr>
            <w:tcW w:type="dxa" w:w="3312"/>
            <w:vAlign w:val="center"/>
          </w:tcPr>
          <w:p>
            <w:r/>
            <w:r>
              <w:rPr>
                <w:b w:val="0"/>
                <w:sz w:val="18"/>
              </w:rPr>
              <w:t>Sector classifications, survey methodology, and publication lag.</w:t>
            </w:r>
          </w:p>
        </w:tc>
      </w:tr>
      <w:tr>
        <w:tc>
          <w:tcPr>
            <w:tcW w:type="dxa" w:w="3312"/>
            <w:vAlign w:val="center"/>
          </w:tcPr>
          <w:p>
            <w:r/>
            <w:r>
              <w:rPr>
                <w:b w:val="0"/>
                <w:sz w:val="18"/>
              </w:rPr>
              <w:t>EEA and other sustainability datasets</w:t>
            </w:r>
          </w:p>
        </w:tc>
        <w:tc>
          <w:tcPr>
            <w:tcW w:type="dxa" w:w="3312"/>
            <w:vAlign w:val="center"/>
          </w:tcPr>
          <w:p>
            <w:r/>
            <w:r>
              <w:rPr>
                <w:b w:val="0"/>
                <w:sz w:val="18"/>
              </w:rPr>
              <w:t>Environmental or circularity indicators where definitions fit the question.</w:t>
            </w:r>
          </w:p>
        </w:tc>
        <w:tc>
          <w:tcPr>
            <w:tcW w:type="dxa" w:w="3312"/>
            <w:vAlign w:val="center"/>
          </w:tcPr>
          <w:p>
            <w:r/>
            <w:r>
              <w:rPr>
                <w:b w:val="0"/>
                <w:sz w:val="18"/>
              </w:rPr>
              <w:t>Different geographic coverage and indicator definitions.</w:t>
            </w:r>
          </w:p>
        </w:tc>
      </w:tr>
      <w:tr>
        <w:tc>
          <w:tcPr>
            <w:tcW w:type="dxa" w:w="3312"/>
            <w:vAlign w:val="center"/>
          </w:tcPr>
          <w:p>
            <w:r/>
            <w:r>
              <w:rPr>
                <w:b w:val="0"/>
                <w:sz w:val="18"/>
              </w:rPr>
              <w:t>Consumer and market signals</w:t>
            </w:r>
          </w:p>
        </w:tc>
        <w:tc>
          <w:tcPr>
            <w:tcW w:type="dxa" w:w="3312"/>
            <w:vAlign w:val="center"/>
          </w:tcPr>
          <w:p>
            <w:r/>
            <w:r>
              <w:rPr>
                <w:b w:val="0"/>
                <w:sz w:val="18"/>
              </w:rPr>
              <w:t>Search interest, published market reports, or other demand proxies.</w:t>
            </w:r>
          </w:p>
        </w:tc>
        <w:tc>
          <w:tcPr>
            <w:tcW w:type="dxa" w:w="3312"/>
            <w:vAlign w:val="center"/>
          </w:tcPr>
          <w:p>
            <w:r/>
            <w:r>
              <w:rPr>
                <w:b w:val="0"/>
                <w:sz w:val="18"/>
              </w:rPr>
              <w:t>Proxy bias, licensing, sampling, and non-equivalence to purchases.</w:t>
            </w:r>
          </w:p>
        </w:tc>
      </w:tr>
    </w:tbl>
    <w:p>
      <w:r>
        <w:t>Before acquisition, maintain a source register with dataset name, publisher, URL, access date, license/terms, update cadence, geographic coverage, unit, classification version, known caveats, and intended analytical use. Prefer primary statistical publishers; retain retrieval timestamps and original downloaded files.</w:t>
      </w:r>
    </w:p>
    <w:p>
      <w:pPr>
        <w:pStyle w:val="Heading2"/>
      </w:pPr>
      <w:r>
        <w:t>3.2 Collection and storage rules</w:t>
      </w:r>
    </w:p>
    <w:p>
      <w:pPr>
        <w:pStyle w:val="ListNumber"/>
      </w:pPr>
      <w:r>
        <w:t>Freeze a small pilot scope (for example, a short list of product codes and countries) before scaling.</w:t>
      </w:r>
    </w:p>
    <w:p>
      <w:pPr>
        <w:pStyle w:val="ListNumber"/>
      </w:pPr>
      <w:r>
        <w:t>Save source files unchanged in a raw/ folder and record download date, query parameters, and checksum where practical.</w:t>
      </w:r>
    </w:p>
    <w:p>
      <w:pPr>
        <w:pStyle w:val="ListNumber"/>
      </w:pPr>
      <w:r>
        <w:t>Normalize column names and data types in a scripted transformation step; preserve original codes alongside harmonized labels.</w:t>
      </w:r>
    </w:p>
    <w:p>
      <w:pPr>
        <w:pStyle w:val="ListNumber"/>
      </w:pPr>
      <w:r>
        <w:t>Keep separate raw, cleaned, and analysis-ready layers so every derived value can be traced backward.</w:t>
      </w:r>
    </w:p>
    <w:p>
      <w:pPr>
        <w:pStyle w:val="ListNumber"/>
      </w:pPr>
      <w:r>
        <w:t>Log row counts, duplicates, missing values, rejected records, and transformation decisions after each run.</w:t>
      </w:r>
    </w:p>
    <w:p>
      <w:pPr>
        <w:pStyle w:val="ListNumber"/>
      </w:pPr>
      <w:r>
        <w:t>Use version control for code and documentation; do not commit credentials, restricted data, or unnecessarily large raw files.</w:t>
      </w:r>
    </w:p>
    <w:p>
      <w:pPr>
        <w:pStyle w:val="Heading2"/>
      </w:pPr>
      <w:r>
        <w:t>3.3 Data-quality acceptance checks</w:t>
      </w:r>
    </w:p>
    <w:p>
      <w:pPr>
        <w:pStyle w:val="ListBullet"/>
      </w:pPr>
      <w:r>
        <w:t>Uniqueness: confirm one row per intended product-country-year-partner key (or document why partner is part of the grain).</w:t>
      </w:r>
    </w:p>
    <w:p>
      <w:pPr>
        <w:pStyle w:val="ListBullet"/>
      </w:pPr>
      <w:r>
        <w:t>Validity: year within the intended window; trade value numeric; country and product codes mapped or explicitly flagged.</w:t>
      </w:r>
    </w:p>
    <w:p>
      <w:pPr>
        <w:pStyle w:val="ListBullet"/>
      </w:pPr>
      <w:r>
        <w:t>Consistency: currency, unit, trade flow, reporter/partner roles, and classification revision are documented.</w:t>
      </w:r>
    </w:p>
    <w:p>
      <w:pPr>
        <w:pStyle w:val="ListBullet"/>
      </w:pPr>
      <w:r>
        <w:t>Completeness: report missingness by field, country, product, and year rather than only one overall percentage.</w:t>
      </w:r>
    </w:p>
    <w:p>
      <w:pPr>
        <w:pStyle w:val="ListBullet"/>
      </w:pPr>
      <w:r>
        <w:t>Reconciliation: compare totals with publisher aggregates where available; investigate material differences.</w:t>
      </w:r>
    </w:p>
    <w:p>
      <w:pPr>
        <w:pStyle w:val="ListBullet"/>
      </w:pPr>
      <w:r>
        <w:t>Reproducibility: rerunning the same query/version should produce explainable results and a saved log.</w:t>
      </w:r>
    </w:p>
    <w:p>
      <w:pPr>
        <w:pStyle w:val="Heading1"/>
      </w:pPr>
      <w:r>
        <w:t>4. EDA Synthesis: Questions, Metrics &amp; Visual Evidence</w:t>
      </w:r>
    </w:p>
    <w:p>
      <w:r>
        <w:t>EDA is the quality gate between collection and modeling. It should describe the dataset, identify structural changes, and test whether apparent patterns are plausible—not merely produce attractive charts.</w:t>
      </w:r>
    </w:p>
    <w:p>
      <w:pPr>
        <w:pStyle w:val="Heading2"/>
      </w:pPr>
      <w:r>
        <w:t>4.1 Core descriptive measures</w:t>
      </w:r>
    </w:p>
    <w:p>
      <w:pPr>
        <w:pStyle w:val="ListBullet"/>
      </w:pPr>
      <w:r>
        <w:t>Count, unique keys, missingness rate, mean, median, standard deviation, minimum/maximum, and quartiles.</w:t>
      </w:r>
    </w:p>
    <w:p>
      <w:pPr>
        <w:pStyle w:val="ListBullet"/>
      </w:pPr>
      <w:r>
        <w:t>Year-over-year percentage change where the prior-year value is positive and comparable.</w:t>
      </w:r>
    </w:p>
    <w:p>
      <w:pPr>
        <w:pStyle w:val="ListBullet"/>
      </w:pPr>
      <w:r>
        <w:t>Volatility using standard deviation or coefficient of variation, with care around near-zero means.</w:t>
      </w:r>
    </w:p>
    <w:p>
      <w:pPr>
        <w:pStyle w:val="ListBullet"/>
      </w:pPr>
      <w:r>
        <w:t>Partner concentration using share of total and Herfindahl–Hirschman Index (HHI), only when partner coverage is sufficiently complete.</w:t>
      </w:r>
    </w:p>
    <w:p>
      <w:pPr>
        <w:pStyle w:val="ListBullet"/>
      </w:pPr>
      <w:r>
        <w:t>Pairwise correlations as exploratory association measures, not causal evidence.</w:t>
      </w:r>
    </w:p>
    <w:p>
      <w:pPr>
        <w:pStyle w:val="Heading2"/>
      </w:pPr>
      <w:r>
        <w:t>4.2 Visualization plan and interpretation prompts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sz w:val="18"/>
              </w:rPr>
              <w:t>Visualization</w:t>
            </w:r>
          </w:p>
        </w:tc>
        <w:tc>
          <w:tcPr>
            <w:tcW w:type="dxa" w:w="3312"/>
            <w:vAlign w:val="center"/>
            <w:shd w:fill="17365D"/>
          </w:tcPr>
          <w:p>
            <w:r/>
            <w:r>
              <w:rPr>
                <w:b/>
                <w:sz w:val="18"/>
              </w:rPr>
              <w:t>Question answered</w:t>
            </w:r>
          </w:p>
        </w:tc>
        <w:tc>
          <w:tcPr>
            <w:tcW w:type="dxa" w:w="3312"/>
            <w:vAlign w:val="center"/>
            <w:shd w:fill="17365D"/>
          </w:tcPr>
          <w:p>
            <w:r/>
            <w:r>
              <w:rPr>
                <w:b/>
                <w:sz w:val="18"/>
              </w:rPr>
              <w:t>Interpretation / follow-up</w:t>
            </w:r>
          </w:p>
        </w:tc>
      </w:tr>
      <w:tr>
        <w:tc>
          <w:tcPr>
            <w:tcW w:type="dxa" w:w="3312"/>
            <w:vAlign w:val="center"/>
          </w:tcPr>
          <w:p>
            <w:r/>
            <w:r>
              <w:rPr>
                <w:b w:val="0"/>
                <w:sz w:val="18"/>
              </w:rPr>
              <w:t>Time-series line chart</w:t>
            </w:r>
          </w:p>
        </w:tc>
        <w:tc>
          <w:tcPr>
            <w:tcW w:type="dxa" w:w="3312"/>
            <w:vAlign w:val="center"/>
          </w:tcPr>
          <w:p>
            <w:r/>
            <w:r>
              <w:rPr>
                <w:b w:val="0"/>
                <w:sz w:val="18"/>
              </w:rPr>
              <w:t>How did annual trade value change?</w:t>
            </w:r>
          </w:p>
        </w:tc>
        <w:tc>
          <w:tcPr>
            <w:tcW w:type="dxa" w:w="3312"/>
            <w:vAlign w:val="center"/>
          </w:tcPr>
          <w:p>
            <w:r/>
            <w:r>
              <w:rPr>
                <w:b w:val="0"/>
                <w:sz w:val="18"/>
              </w:rPr>
              <w:t>Mark breaks and unusual years; check whether change reflects real movement or reporting/classification shifts.</w:t>
            </w:r>
          </w:p>
        </w:tc>
      </w:tr>
      <w:tr>
        <w:tc>
          <w:tcPr>
            <w:tcW w:type="dxa" w:w="3312"/>
            <w:vAlign w:val="center"/>
          </w:tcPr>
          <w:p>
            <w:r/>
            <w:r>
              <w:rPr>
                <w:b w:val="0"/>
                <w:sz w:val="18"/>
              </w:rPr>
              <w:t>Ranked bar chart</w:t>
            </w:r>
          </w:p>
        </w:tc>
        <w:tc>
          <w:tcPr>
            <w:tcW w:type="dxa" w:w="3312"/>
            <w:vAlign w:val="center"/>
          </w:tcPr>
          <w:p>
            <w:r/>
            <w:r>
              <w:rPr>
                <w:b w:val="0"/>
                <w:sz w:val="18"/>
              </w:rPr>
              <w:t>Which product-country series have the largest values?</w:t>
            </w:r>
          </w:p>
        </w:tc>
        <w:tc>
          <w:tcPr>
            <w:tcW w:type="dxa" w:w="3312"/>
            <w:vAlign w:val="center"/>
          </w:tcPr>
          <w:p>
            <w:r/>
            <w:r>
              <w:rPr>
                <w:b w:val="0"/>
                <w:sz w:val="18"/>
              </w:rPr>
              <w:t>Show units and period; avoid comparing incompatible coverage.</w:t>
            </w:r>
          </w:p>
        </w:tc>
      </w:tr>
      <w:tr>
        <w:tc>
          <w:tcPr>
            <w:tcW w:type="dxa" w:w="3312"/>
            <w:vAlign w:val="center"/>
          </w:tcPr>
          <w:p>
            <w:r/>
            <w:r>
              <w:rPr>
                <w:b w:val="0"/>
                <w:sz w:val="18"/>
              </w:rPr>
              <w:t>Histogram / box plot</w:t>
            </w:r>
          </w:p>
        </w:tc>
        <w:tc>
          <w:tcPr>
            <w:tcW w:type="dxa" w:w="3312"/>
            <w:vAlign w:val="center"/>
          </w:tcPr>
          <w:p>
            <w:r/>
            <w:r>
              <w:rPr>
                <w:b w:val="0"/>
                <w:sz w:val="18"/>
              </w:rPr>
              <w:t>Are values skewed or dominated by outliers?</w:t>
            </w:r>
          </w:p>
        </w:tc>
        <w:tc>
          <w:tcPr>
            <w:tcW w:type="dxa" w:w="3312"/>
            <w:vAlign w:val="center"/>
          </w:tcPr>
          <w:p>
            <w:r/>
            <w:r>
              <w:rPr>
                <w:b w:val="0"/>
                <w:sz w:val="18"/>
              </w:rPr>
              <w:t>Use robust summaries; investigate extreme records rather than automatically deleting them.</w:t>
            </w:r>
          </w:p>
        </w:tc>
      </w:tr>
      <w:tr>
        <w:tc>
          <w:tcPr>
            <w:tcW w:type="dxa" w:w="3312"/>
            <w:vAlign w:val="center"/>
          </w:tcPr>
          <w:p>
            <w:r/>
            <w:r>
              <w:rPr>
                <w:b w:val="0"/>
                <w:sz w:val="18"/>
              </w:rPr>
              <w:t>Partner-share stacked bar</w:t>
            </w:r>
          </w:p>
        </w:tc>
        <w:tc>
          <w:tcPr>
            <w:tcW w:type="dxa" w:w="3312"/>
            <w:vAlign w:val="center"/>
          </w:tcPr>
          <w:p>
            <w:r/>
            <w:r>
              <w:rPr>
                <w:b w:val="0"/>
                <w:sz w:val="18"/>
              </w:rPr>
              <w:t>How is trade distributed across partners?</w:t>
            </w:r>
          </w:p>
        </w:tc>
        <w:tc>
          <w:tcPr>
            <w:tcW w:type="dxa" w:w="3312"/>
            <w:vAlign w:val="center"/>
          </w:tcPr>
          <w:p>
            <w:r/>
            <w:r>
              <w:rPr>
                <w:b w:val="0"/>
                <w:sz w:val="18"/>
              </w:rPr>
              <w:t>Check unreported/unknown partner share before interpreting concentration.</w:t>
            </w:r>
          </w:p>
        </w:tc>
      </w:tr>
      <w:tr>
        <w:tc>
          <w:tcPr>
            <w:tcW w:type="dxa" w:w="3312"/>
            <w:vAlign w:val="center"/>
          </w:tcPr>
          <w:p>
            <w:r/>
            <w:r>
              <w:rPr>
                <w:b w:val="0"/>
                <w:sz w:val="18"/>
              </w:rPr>
              <w:t>Scatter plot</w:t>
            </w:r>
          </w:p>
        </w:tc>
        <w:tc>
          <w:tcPr>
            <w:tcW w:type="dxa" w:w="3312"/>
            <w:vAlign w:val="center"/>
          </w:tcPr>
          <w:p>
            <w:r/>
            <w:r>
              <w:rPr>
                <w:b w:val="0"/>
                <w:sz w:val="18"/>
              </w:rPr>
              <w:t>Do two indicators move together?</w:t>
            </w:r>
          </w:p>
        </w:tc>
        <w:tc>
          <w:tcPr>
            <w:tcW w:type="dxa" w:w="3312"/>
            <w:vAlign w:val="center"/>
          </w:tcPr>
          <w:p>
            <w:r/>
            <w:r>
              <w:rPr>
                <w:b w:val="0"/>
                <w:sz w:val="18"/>
              </w:rPr>
              <w:t>Inspect outliers and time effects; correlation alone does not establish causation.</w:t>
            </w:r>
          </w:p>
        </w:tc>
      </w:tr>
      <w:tr>
        <w:tc>
          <w:tcPr>
            <w:tcW w:type="dxa" w:w="3312"/>
            <w:vAlign w:val="center"/>
          </w:tcPr>
          <w:p>
            <w:r/>
            <w:r>
              <w:rPr>
                <w:b w:val="0"/>
                <w:sz w:val="18"/>
              </w:rPr>
              <w:t>Correlation heatmap</w:t>
            </w:r>
          </w:p>
        </w:tc>
        <w:tc>
          <w:tcPr>
            <w:tcW w:type="dxa" w:w="3312"/>
            <w:vAlign w:val="center"/>
          </w:tcPr>
          <w:p>
            <w:r/>
            <w:r>
              <w:rPr>
                <w:b w:val="0"/>
                <w:sz w:val="18"/>
              </w:rPr>
              <w:t>Which numeric variables co-vary?</w:t>
            </w:r>
          </w:p>
        </w:tc>
        <w:tc>
          <w:tcPr>
            <w:tcW w:type="dxa" w:w="3312"/>
            <w:vAlign w:val="center"/>
          </w:tcPr>
          <w:p>
            <w:r/>
            <w:r>
              <w:rPr>
                <w:b w:val="0"/>
                <w:sz w:val="18"/>
              </w:rPr>
              <w:t>Limit to comparable series; avoid mixing levels and growth rates without explanation.</w:t>
            </w:r>
          </w:p>
        </w:tc>
      </w:tr>
      <w:tr>
        <w:tc>
          <w:tcPr>
            <w:tcW w:type="dxa" w:w="3312"/>
            <w:vAlign w:val="center"/>
          </w:tcPr>
          <w:p>
            <w:r/>
            <w:r>
              <w:rPr>
                <w:b w:val="0"/>
                <w:sz w:val="18"/>
              </w:rPr>
              <w:t>Missingness matrix</w:t>
            </w:r>
          </w:p>
        </w:tc>
        <w:tc>
          <w:tcPr>
            <w:tcW w:type="dxa" w:w="3312"/>
            <w:vAlign w:val="center"/>
          </w:tcPr>
          <w:p>
            <w:r/>
            <w:r>
              <w:rPr>
                <w:b w:val="0"/>
                <w:sz w:val="18"/>
              </w:rPr>
              <w:t>Where are gaps clustered?</w:t>
            </w:r>
          </w:p>
        </w:tc>
        <w:tc>
          <w:tcPr>
            <w:tcW w:type="dxa" w:w="3312"/>
            <w:vAlign w:val="center"/>
          </w:tcPr>
          <w:p>
            <w:r/>
            <w:r>
              <w:rPr>
                <w:b w:val="0"/>
                <w:sz w:val="18"/>
              </w:rPr>
              <w:t>Determine whether missingness is systematic by country, year, or source.</w:t>
            </w:r>
          </w:p>
        </w:tc>
      </w:tr>
      <w:tr>
        <w:tc>
          <w:tcPr>
            <w:tcW w:type="dxa" w:w="3312"/>
            <w:vAlign w:val="center"/>
          </w:tcPr>
          <w:p>
            <w:r/>
            <w:r>
              <w:rPr>
                <w:b w:val="0"/>
                <w:sz w:val="18"/>
              </w:rPr>
              <w:t>Coverage matrix</w:t>
            </w:r>
          </w:p>
        </w:tc>
        <w:tc>
          <w:tcPr>
            <w:tcW w:type="dxa" w:w="3312"/>
            <w:vAlign w:val="center"/>
          </w:tcPr>
          <w:p>
            <w:r/>
            <w:r>
              <w:rPr>
                <w:b w:val="0"/>
                <w:sz w:val="18"/>
              </w:rPr>
              <w:t>Which combinations have usable history?</w:t>
            </w:r>
          </w:p>
        </w:tc>
        <w:tc>
          <w:tcPr>
            <w:tcW w:type="dxa" w:w="3312"/>
            <w:vAlign w:val="center"/>
          </w:tcPr>
          <w:p>
            <w:r/>
            <w:r>
              <w:rPr>
                <w:b w:val="0"/>
                <w:sz w:val="18"/>
              </w:rPr>
              <w:t>Use it to define model eligibility and report excluded series.</w:t>
            </w:r>
          </w:p>
        </w:tc>
      </w:tr>
    </w:tbl>
    <w:p>
      <w:pPr>
        <w:pStyle w:val="Heading2"/>
      </w:pPr>
      <w:r>
        <w:t>4.3 Illustrative calculations (not findings)</w:t>
      </w:r>
    </w:p>
    <w:p>
      <w:r>
        <w:t>Example A: if a comparable series rises from 100 million to 115 million in one year, the nominal increase is (115−100)/100 × 100 = 15%. Before calling this real growth, check inflation, exchange rates, product-code continuity, and reporting changes.</w:t>
      </w:r>
    </w:p>
    <w:p>
      <w:r>
        <w:t>Example B: if three partners account for 50%, 30%, and 20% of a fully observed market, HHI = 0.50² + 0.30² + 0.20² = 0.38 (or 3,800 on a 0–10,000 scale). This is only illustrative; omitted partners or incomplete reporting can distort concentration.</w:t>
      </w:r>
    </w:p>
    <w:p>
      <w:r>
        <w:t>Example C: if 18 of 120 records are missing for a field, missingness is 15%. The response depends on the pattern and reason: do not automatically replace missing values with zero.</w:t>
      </w:r>
    </w:p>
    <w:p>
      <w:pPr>
        <w:pStyle w:val="Heading2"/>
      </w:pPr>
      <w:r>
        <w:t>4.4 EDA-to-model decisions</w:t>
      </w:r>
    </w:p>
    <w:p>
      <w:pPr>
        <w:pStyle w:val="ListBullet"/>
      </w:pPr>
      <w:r>
        <w:t>Short or discontinuous series: retain descriptive analysis; do not promise reliable forecasting.</w:t>
      </w:r>
    </w:p>
    <w:p>
      <w:pPr>
        <w:pStyle w:val="ListBullet"/>
      </w:pPr>
      <w:r>
        <w:t>Large structural breaks: split regimes, add documented event indicators, or restrict the training window after investigation.</w:t>
      </w:r>
    </w:p>
    <w:p>
      <w:pPr>
        <w:pStyle w:val="ListBullet"/>
      </w:pPr>
      <w:r>
        <w:t>Strong trend with sufficient history: compare naïve and drift baselines with regularized regression or time-series candidates.</w:t>
      </w:r>
    </w:p>
    <w:p>
      <w:pPr>
        <w:pStyle w:val="ListBullet"/>
      </w:pPr>
      <w:r>
        <w:t>High partner concentration: add concentration indicators only if partner data is complete and stable.</w:t>
      </w:r>
    </w:p>
    <w:p>
      <w:pPr>
        <w:pStyle w:val="ListBullet"/>
      </w:pPr>
      <w:r>
        <w:t>Unstable units or code mappings: pause modeling until harmonization is resolved.</w:t>
      </w:r>
    </w:p>
    <w:p>
      <w:pPr>
        <w:pStyle w:val="Heading1"/>
      </w:pPr>
      <w:r>
        <w:t>5. Predictive Modeling Plan</w:t>
      </w:r>
    </w:p>
    <w:p>
      <w:pPr>
        <w:pStyle w:val="Heading2"/>
      </w:pPr>
      <w:r>
        <w:t>5.1 Pilot definition</w:t>
      </w:r>
    </w:p>
    <w:p>
      <w:r>
        <w:t>Forecast annual export trade value for a specified product-country series one year ahead. Each observation is one product-country-year; if the dataset includes partner-level records, aggregate or model partner-level values consistently and avoid mixing grains. The forecast is a market-screening signal, not a guaranteed outcome or a substitute for company demand planning.</w:t>
      </w:r>
    </w:p>
    <w:p>
      <w:pPr>
        <w:pStyle w:val="Heading2"/>
      </w:pPr>
      <w:r>
        <w:t>5.2 Candidate models and comparison</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DEBF7"/>
          </w:tcPr>
          <w:p>
            <w:r/>
            <w:r>
              <w:rPr>
                <w:b/>
                <w:sz w:val="18"/>
              </w:rPr>
              <w:t>Model</w:t>
            </w:r>
          </w:p>
        </w:tc>
        <w:tc>
          <w:tcPr>
            <w:tcW w:type="dxa" w:w="3312"/>
            <w:vAlign w:val="center"/>
            <w:shd w:fill="DDEBF7"/>
          </w:tcPr>
          <w:p>
            <w:r/>
            <w:r>
              <w:rPr>
                <w:b/>
                <w:sz w:val="18"/>
              </w:rPr>
              <w:t>Purpose</w:t>
            </w:r>
          </w:p>
        </w:tc>
        <w:tc>
          <w:tcPr>
            <w:tcW w:type="dxa" w:w="3312"/>
            <w:vAlign w:val="center"/>
            <w:shd w:fill="DDEBF7"/>
          </w:tcPr>
          <w:p>
            <w:r/>
            <w:r>
              <w:rPr>
                <w:b/>
                <w:sz w:val="18"/>
              </w:rPr>
              <w:t>Risks / controls</w:t>
            </w:r>
          </w:p>
        </w:tc>
      </w:tr>
      <w:tr>
        <w:tc>
          <w:tcPr>
            <w:tcW w:type="dxa" w:w="3312"/>
            <w:vAlign w:val="center"/>
          </w:tcPr>
          <w:p>
            <w:r/>
            <w:r>
              <w:rPr>
                <w:b w:val="0"/>
                <w:sz w:val="18"/>
              </w:rPr>
              <w:t>Naïve last-value baseline</w:t>
            </w:r>
          </w:p>
        </w:tc>
        <w:tc>
          <w:tcPr>
            <w:tcW w:type="dxa" w:w="3312"/>
            <w:vAlign w:val="center"/>
          </w:tcPr>
          <w:p>
            <w:r/>
            <w:r>
              <w:rPr>
                <w:b w:val="0"/>
                <w:sz w:val="18"/>
              </w:rPr>
              <w:t>Forecast next year as the latest observed value.</w:t>
            </w:r>
          </w:p>
        </w:tc>
        <w:tc>
          <w:tcPr>
            <w:tcW w:type="dxa" w:w="3312"/>
            <w:vAlign w:val="center"/>
          </w:tcPr>
          <w:p>
            <w:r/>
            <w:r>
              <w:rPr>
                <w:b w:val="0"/>
                <w:sz w:val="18"/>
              </w:rPr>
              <w:t>Essential benchmark; may lag trend.</w:t>
            </w:r>
          </w:p>
        </w:tc>
      </w:tr>
      <w:tr>
        <w:tc>
          <w:tcPr>
            <w:tcW w:type="dxa" w:w="3312"/>
            <w:vAlign w:val="center"/>
          </w:tcPr>
          <w:p>
            <w:r/>
            <w:r>
              <w:rPr>
                <w:b w:val="0"/>
                <w:sz w:val="18"/>
              </w:rPr>
              <w:t>Drift baseline / moving average</w:t>
            </w:r>
          </w:p>
        </w:tc>
        <w:tc>
          <w:tcPr>
            <w:tcW w:type="dxa" w:w="3312"/>
            <w:vAlign w:val="center"/>
          </w:tcPr>
          <w:p>
            <w:r/>
            <w:r>
              <w:rPr>
                <w:b w:val="0"/>
                <w:sz w:val="18"/>
              </w:rPr>
              <w:t>Simple trend or smoothed benchmark.</w:t>
            </w:r>
          </w:p>
        </w:tc>
        <w:tc>
          <w:tcPr>
            <w:tcW w:type="dxa" w:w="3312"/>
            <w:vAlign w:val="center"/>
          </w:tcPr>
          <w:p>
            <w:r/>
            <w:r>
              <w:rPr>
                <w:b w:val="0"/>
                <w:sz w:val="18"/>
              </w:rPr>
              <w:t>Sensitive to breaks and window choice.</w:t>
            </w:r>
          </w:p>
        </w:tc>
      </w:tr>
      <w:tr>
        <w:tc>
          <w:tcPr>
            <w:tcW w:type="dxa" w:w="3312"/>
            <w:vAlign w:val="center"/>
          </w:tcPr>
          <w:p>
            <w:r/>
            <w:r>
              <w:rPr>
                <w:b w:val="0"/>
                <w:sz w:val="18"/>
              </w:rPr>
              <w:t>Linear regression</w:t>
            </w:r>
          </w:p>
        </w:tc>
        <w:tc>
          <w:tcPr>
            <w:tcW w:type="dxa" w:w="3312"/>
            <w:vAlign w:val="center"/>
          </w:tcPr>
          <w:p>
            <w:r/>
            <w:r>
              <w:rPr>
                <w:b w:val="0"/>
                <w:sz w:val="18"/>
              </w:rPr>
              <w:t>Use time and carefully selected external features.</w:t>
            </w:r>
          </w:p>
        </w:tc>
        <w:tc>
          <w:tcPr>
            <w:tcW w:type="dxa" w:w="3312"/>
            <w:vAlign w:val="center"/>
          </w:tcPr>
          <w:p>
            <w:r/>
            <w:r>
              <w:rPr>
                <w:b w:val="0"/>
                <w:sz w:val="18"/>
              </w:rPr>
              <w:t>Trend extrapolation can be unrealistic; inspect residuals.</w:t>
            </w:r>
          </w:p>
        </w:tc>
      </w:tr>
      <w:tr>
        <w:tc>
          <w:tcPr>
            <w:tcW w:type="dxa" w:w="3312"/>
            <w:vAlign w:val="center"/>
          </w:tcPr>
          <w:p>
            <w:r/>
            <w:r>
              <w:rPr>
                <w:b w:val="0"/>
                <w:sz w:val="18"/>
              </w:rPr>
              <w:t>Ridge / Elastic Net</w:t>
            </w:r>
          </w:p>
        </w:tc>
        <w:tc>
          <w:tcPr>
            <w:tcW w:type="dxa" w:w="3312"/>
            <w:vAlign w:val="center"/>
          </w:tcPr>
          <w:p>
            <w:r/>
            <w:r>
              <w:rPr>
                <w:b w:val="0"/>
                <w:sz w:val="18"/>
              </w:rPr>
              <w:t>Regularized regression when features overlap.</w:t>
            </w:r>
          </w:p>
        </w:tc>
        <w:tc>
          <w:tcPr>
            <w:tcW w:type="dxa" w:w="3312"/>
            <w:vAlign w:val="center"/>
          </w:tcPr>
          <w:p>
            <w:r/>
            <w:r>
              <w:rPr>
                <w:b w:val="0"/>
                <w:sz w:val="18"/>
              </w:rPr>
              <w:t>Tune only within training folds; scale where needed.</w:t>
            </w:r>
          </w:p>
        </w:tc>
      </w:tr>
      <w:tr>
        <w:tc>
          <w:tcPr>
            <w:tcW w:type="dxa" w:w="3312"/>
            <w:vAlign w:val="center"/>
          </w:tcPr>
          <w:p>
            <w:r/>
            <w:r>
              <w:rPr>
                <w:b w:val="0"/>
                <w:sz w:val="18"/>
              </w:rPr>
              <w:t>Exponential smoothing / ARIMA (if history supports)</w:t>
            </w:r>
          </w:p>
        </w:tc>
        <w:tc>
          <w:tcPr>
            <w:tcW w:type="dxa" w:w="3312"/>
            <w:vAlign w:val="center"/>
          </w:tcPr>
          <w:p>
            <w:r/>
            <w:r>
              <w:rPr>
                <w:b w:val="0"/>
                <w:sz w:val="18"/>
              </w:rPr>
              <w:t>Model temporal structure in sufficiently long, stable series.</w:t>
            </w:r>
          </w:p>
        </w:tc>
        <w:tc>
          <w:tcPr>
            <w:tcW w:type="dxa" w:w="3312"/>
            <w:vAlign w:val="center"/>
          </w:tcPr>
          <w:p>
            <w:r/>
            <w:r>
              <w:rPr>
                <w:b w:val="0"/>
                <w:sz w:val="18"/>
              </w:rPr>
              <w:t>Small annual samples make complex models fragile.</w:t>
            </w:r>
          </w:p>
        </w:tc>
      </w:tr>
      <w:tr>
        <w:tc>
          <w:tcPr>
            <w:tcW w:type="dxa" w:w="3312"/>
            <w:vAlign w:val="center"/>
          </w:tcPr>
          <w:p>
            <w:r/>
            <w:r>
              <w:rPr>
                <w:b w:val="0"/>
                <w:sz w:val="18"/>
              </w:rPr>
              <w:t>Constrained tree model (optional)</w:t>
            </w:r>
          </w:p>
        </w:tc>
        <w:tc>
          <w:tcPr>
            <w:tcW w:type="dxa" w:w="3312"/>
            <w:vAlign w:val="center"/>
          </w:tcPr>
          <w:p>
            <w:r/>
            <w:r>
              <w:rPr>
                <w:b w:val="0"/>
                <w:sz w:val="18"/>
              </w:rPr>
              <w:t>Capture nonlinear feature relationships if enough observations exist.</w:t>
            </w:r>
          </w:p>
        </w:tc>
        <w:tc>
          <w:tcPr>
            <w:tcW w:type="dxa" w:w="3312"/>
            <w:vAlign w:val="center"/>
          </w:tcPr>
          <w:p>
            <w:r/>
            <w:r>
              <w:rPr>
                <w:b w:val="0"/>
                <w:sz w:val="18"/>
              </w:rPr>
              <w:t>High overfit risk on small annual datasets; compare against simple baselines.</w:t>
            </w:r>
          </w:p>
        </w:tc>
      </w:tr>
    </w:tbl>
    <w:p>
      <w:pPr>
        <w:pStyle w:val="Heading2"/>
      </w:pPr>
      <w:r>
        <w:t>5.3 Feature engineering and leakage prevention</w:t>
      </w:r>
    </w:p>
    <w:p>
      <w:pPr>
        <w:pStyle w:val="ListBullet"/>
      </w:pPr>
      <w:r>
        <w:t>Potential features: lagged trade values, lagged growth, rolling averages, product/country indicators, and only those external indicators whose publication date precedes the forecast origin.</w:t>
      </w:r>
    </w:p>
    <w:p>
      <w:pPr>
        <w:pStyle w:val="ListBullet"/>
      </w:pPr>
      <w:r>
        <w:t>Fit imputers, scalers, feature selection, and hyperparameter tuning inside each training fold—not on the full dataset.</w:t>
      </w:r>
    </w:p>
    <w:p>
      <w:pPr>
        <w:pStyle w:val="ListBullet"/>
      </w:pPr>
      <w:r>
        <w:t>Do not use future-year values, revised data unavailable at the forecast date, or post-outcome information.</w:t>
      </w:r>
    </w:p>
    <w:p>
      <w:pPr>
        <w:pStyle w:val="ListBullet"/>
      </w:pPr>
      <w:r>
        <w:t>Keep an explicit forecast-origin table documenting which data would have been available when each prediction was made.</w:t>
      </w:r>
    </w:p>
    <w:p>
      <w:pPr>
        <w:pStyle w:val="ListBullet"/>
      </w:pPr>
      <w:r>
        <w:t>Use a simple model when the sample is small; complexity must earn its place through repeated out-of-sample improvement.</w:t>
      </w:r>
    </w:p>
    <w:p>
      <w:pPr>
        <w:pStyle w:val="Heading2"/>
      </w:pPr>
      <w:r>
        <w:t>5.4 Validation and metrics</w:t>
      </w:r>
    </w:p>
    <w:p>
      <w:r>
        <w:t>Use chronological holdouts and rolling-origin backtesting rather than random train/test splits. For each origin, train only on prior years, predict the next year, and record errors. Report the number of test points and results by product-country series; a single pooled score can hide failures.</w:t>
      </w:r>
    </w:p>
    <w:p>
      <w:pPr>
        <w:pStyle w:val="ListBullet"/>
      </w:pPr>
      <w:r>
        <w:t>MAE = average absolute error; directly interpretable in the target's units.</w:t>
      </w:r>
    </w:p>
    <w:p>
      <w:pPr>
        <w:pStyle w:val="ListBullet"/>
      </w:pPr>
      <w:r>
        <w:t>RMSE = square root of mean squared error; penalizes large misses more heavily.</w:t>
      </w:r>
    </w:p>
    <w:p>
      <w:pPr>
        <w:pStyle w:val="ListBullet"/>
      </w:pPr>
      <w:r>
        <w:t>MAPE is unstable when actual values are zero or near zero; use only when appropriate.</w:t>
      </w:r>
    </w:p>
    <w:p>
      <w:pPr>
        <w:pStyle w:val="ListBullet"/>
      </w:pPr>
      <w:r>
        <w:t>WAPE = sum of absolute errors divided by sum of absolute actuals; useful for aggregate reporting but can conceal small-series performance.</w:t>
      </w:r>
    </w:p>
    <w:p>
      <w:r>
        <w:t>Illustrative metric example: actual values [100, 120, 90] and forecasts [110, 115, 100] produce absolute errors [10, 5, 10], MAE = 25/3 ≈ 8.33 and RMSE = √(225/3) ≈ 8.66. These are demonstration numbers, not evaluated model performance.</w:t>
      </w:r>
    </w:p>
    <w:p>
      <w:pPr>
        <w:pStyle w:val="Heading2"/>
      </w:pPr>
      <w:r>
        <w:t>5.5 Overfitting and model governance</w:t>
      </w:r>
    </w:p>
    <w:p>
      <w:pPr>
        <w:pStyle w:val="ListBullet"/>
      </w:pPr>
      <w:r>
        <w:t>Start with baselines; require repeatable improvement across multiple forecast origins.</w:t>
      </w:r>
    </w:p>
    <w:p>
      <w:pPr>
        <w:pStyle w:val="ListBullet"/>
      </w:pPr>
      <w:r>
        <w:t>Limit features and model complexity relative to the number of annual observations.</w:t>
      </w:r>
    </w:p>
    <w:p>
      <w:pPr>
        <w:pStyle w:val="ListBullet"/>
      </w:pPr>
      <w:r>
        <w:t>Keep a final untouched test period if the dataset is long enough; do not repeatedly tune against it.</w:t>
      </w:r>
    </w:p>
    <w:p>
      <w:pPr>
        <w:pStyle w:val="ListBullet"/>
      </w:pPr>
      <w:r>
        <w:t>Inspect residuals, forecast intervals where supported, and performance by series—not only averages.</w:t>
      </w:r>
    </w:p>
    <w:p>
      <w:pPr>
        <w:pStyle w:val="ListBullet"/>
      </w:pPr>
      <w:r>
        <w:t>Document model version, data snapshot, feature definitions, validation design, metrics, and known failure cases.</w:t>
      </w:r>
    </w:p>
    <w:p>
      <w:pPr>
        <w:pStyle w:val="Heading1"/>
      </w:pPr>
      <w:r>
        <w:t>6. Strategic Recommendations</w:t>
      </w:r>
    </w:p>
    <w:p>
      <w:r>
        <w:t>The recommendations below are conditional on data quality and validation. They are decision-support actions, not claims that current market conditions have already been measured.</w:t>
      </w:r>
    </w:p>
    <w:p>
      <w:pPr>
        <w:pStyle w:val="Heading2"/>
      </w:pPr>
      <w:r>
        <w:t>1. Establish a governed, reusable data foundation</w:t>
      </w:r>
    </w:p>
    <w:p>
      <w:r>
        <w:t>Create a source register, data dictionary, code mappings, raw/clean/analysis layers, and quality dashboard. Assign an owner for each source and refresh cadence.</w:t>
      </w:r>
    </w:p>
    <w:p>
      <w:r>
        <w:t>Business value: less repeated manual work, clearer provenance, and faster onboarding.</w:t>
      </w:r>
    </w:p>
    <w:p>
      <w:pPr>
        <w:pStyle w:val="Heading2"/>
      </w:pPr>
      <w:r>
        <w:t>2. Launch a narrow market-monitoring pilot</w:t>
      </w:r>
    </w:p>
    <w:p>
      <w:r>
        <w:t>Select a manageable set of product-country series with consistent definitions and sufficient history. Publish trend, coverage, and uncertainty alongside every comparison.</w:t>
      </w:r>
    </w:p>
    <w:p>
      <w:r>
        <w:t>Business value: focus analyst time on research-worthy signals rather than broad, noisy rankings.</w:t>
      </w:r>
    </w:p>
    <w:p>
      <w:pPr>
        <w:pStyle w:val="Heading2"/>
      </w:pPr>
      <w:r>
        <w:t>3. Make EDA a formal release gate</w:t>
      </w:r>
    </w:p>
    <w:p>
      <w:r>
        <w:t>Require checks for missingness, classification breaks, outliers, partner coverage, and unit comparability before publishing insights or training models.</w:t>
      </w:r>
    </w:p>
    <w:p>
      <w:r>
        <w:t>Business value: reduce the risk of acting on artifacts or inconsistent data.</w:t>
      </w:r>
    </w:p>
    <w:p>
      <w:pPr>
        <w:pStyle w:val="Heading2"/>
      </w:pPr>
      <w:r>
        <w:t>4. Benchmark forecasts before adopting complexity</w:t>
      </w:r>
    </w:p>
    <w:p>
      <w:r>
        <w:t>Compare naïve and drift baselines with candidate models using rolling-origin validation. Adopt a more complex method only when it improves relevant out-of-sample metrics consistently.</w:t>
      </w:r>
    </w:p>
    <w:p>
      <w:r>
        <w:t>Business value: more transparent forecasting and lower risk of false precision.</w:t>
      </w:r>
    </w:p>
    <w:p>
      <w:pPr>
        <w:pStyle w:val="Heading2"/>
      </w:pPr>
      <w:r>
        <w:t>5. Translate signals into human-reviewed actions</w:t>
      </w:r>
    </w:p>
    <w:p>
      <w:r>
        <w:t>Use flags such as sustained decline, unusual volatility, or rising partner concentration to trigger analyst review—not automatic sourcing or investment decisions.</w:t>
      </w:r>
    </w:p>
    <w:p>
      <w:r>
        <w:t>Business value: create a repeatable research queue while retaining context and human judgment.</w:t>
      </w:r>
    </w:p>
    <w:p>
      <w:pPr>
        <w:pStyle w:val="Heading2"/>
      </w:pPr>
      <w:r>
        <w:t>6. Build a feedback loop with domain experts</w:t>
      </w:r>
    </w:p>
    <w:p>
      <w:r>
        <w:t>Ask sourcing, merchandising, sustainability, and trade specialists to review definitions, plausible explanations, and missing business variables each iteration.</w:t>
      </w:r>
    </w:p>
    <w:p>
      <w:r>
        <w:t>Business value: connect statistical patterns to operational context and uncover data needs.</w:t>
      </w:r>
    </w:p>
    <w:p>
      <w:pPr>
        <w:pStyle w:val="Heading1"/>
      </w:pPr>
      <w:r>
        <w:t>7. Business Impact &amp; Long-Term Data-Driven Strategy</w:t>
      </w:r>
    </w:p>
    <w:p>
      <w:pPr>
        <w:pStyle w:val="Heading2"/>
      </w:pPr>
      <w:r>
        <w:t>7.1 Expected impact pathways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sz w:val="18"/>
              </w:rPr>
              <w:t>Capability</w:t>
            </w:r>
          </w:p>
        </w:tc>
        <w:tc>
          <w:tcPr>
            <w:tcW w:type="dxa" w:w="3312"/>
            <w:vAlign w:val="center"/>
            <w:shd w:fill="17365D"/>
          </w:tcPr>
          <w:p>
            <w:r/>
            <w:r>
              <w:rPr>
                <w:b/>
                <w:sz w:val="18"/>
              </w:rPr>
              <w:t>Potential impact</w:t>
            </w:r>
          </w:p>
        </w:tc>
        <w:tc>
          <w:tcPr>
            <w:tcW w:type="dxa" w:w="3312"/>
            <w:vAlign w:val="center"/>
            <w:shd w:fill="17365D"/>
          </w:tcPr>
          <w:p>
            <w:r/>
            <w:r>
              <w:rPr>
                <w:b/>
                <w:sz w:val="18"/>
              </w:rPr>
              <w:t>How to measure responsibly</w:t>
            </w:r>
          </w:p>
        </w:tc>
      </w:tr>
      <w:tr>
        <w:tc>
          <w:tcPr>
            <w:tcW w:type="dxa" w:w="3312"/>
            <w:vAlign w:val="center"/>
          </w:tcPr>
          <w:p>
            <w:r/>
            <w:r>
              <w:rPr>
                <w:b w:val="0"/>
                <w:sz w:val="18"/>
              </w:rPr>
              <w:t>Reusable data pipeline</w:t>
            </w:r>
          </w:p>
        </w:tc>
        <w:tc>
          <w:tcPr>
            <w:tcW w:type="dxa" w:w="3312"/>
            <w:vAlign w:val="center"/>
          </w:tcPr>
          <w:p>
            <w:r/>
            <w:r>
              <w:rPr>
                <w:b w:val="0"/>
                <w:sz w:val="18"/>
              </w:rPr>
              <w:t>Reduced repetitive collection and cleaning.</w:t>
            </w:r>
          </w:p>
        </w:tc>
        <w:tc>
          <w:tcPr>
            <w:tcW w:type="dxa" w:w="3312"/>
            <w:vAlign w:val="center"/>
          </w:tcPr>
          <w:p>
            <w:r/>
            <w:r>
              <w:rPr>
                <w:b w:val="0"/>
                <w:sz w:val="18"/>
              </w:rPr>
              <w:t>Track analyst hours per refresh and data defect rate before/after.</w:t>
            </w:r>
          </w:p>
        </w:tc>
      </w:tr>
      <w:tr>
        <w:tc>
          <w:tcPr>
            <w:tcW w:type="dxa" w:w="3312"/>
            <w:vAlign w:val="center"/>
          </w:tcPr>
          <w:p>
            <w:r/>
            <w:r>
              <w:rPr>
                <w:b w:val="0"/>
                <w:sz w:val="18"/>
              </w:rPr>
              <w:t>Market trend dashboard</w:t>
            </w:r>
          </w:p>
        </w:tc>
        <w:tc>
          <w:tcPr>
            <w:tcW w:type="dxa" w:w="3312"/>
            <w:vAlign w:val="center"/>
          </w:tcPr>
          <w:p>
            <w:r/>
            <w:r>
              <w:rPr>
                <w:b w:val="0"/>
                <w:sz w:val="18"/>
              </w:rPr>
              <w:t>Faster identification of series needing investigation.</w:t>
            </w:r>
          </w:p>
        </w:tc>
        <w:tc>
          <w:tcPr>
            <w:tcW w:type="dxa" w:w="3312"/>
            <w:vAlign w:val="center"/>
          </w:tcPr>
          <w:p>
            <w:r/>
            <w:r>
              <w:rPr>
                <w:b w:val="0"/>
                <w:sz w:val="18"/>
              </w:rPr>
              <w:t>Measure time from refresh to reviewed insight; record follow-up decisions.</w:t>
            </w:r>
          </w:p>
        </w:tc>
      </w:tr>
      <w:tr>
        <w:tc>
          <w:tcPr>
            <w:tcW w:type="dxa" w:w="3312"/>
            <w:vAlign w:val="center"/>
          </w:tcPr>
          <w:p>
            <w:r/>
            <w:r>
              <w:rPr>
                <w:b w:val="0"/>
                <w:sz w:val="18"/>
              </w:rPr>
              <w:t>Validated forecasting</w:t>
            </w:r>
          </w:p>
        </w:tc>
        <w:tc>
          <w:tcPr>
            <w:tcW w:type="dxa" w:w="3312"/>
            <w:vAlign w:val="center"/>
          </w:tcPr>
          <w:p>
            <w:r/>
            <w:r>
              <w:rPr>
                <w:b w:val="0"/>
                <w:sz w:val="18"/>
              </w:rPr>
              <w:t>More structured planning ranges and scenario discussions.</w:t>
            </w:r>
          </w:p>
        </w:tc>
        <w:tc>
          <w:tcPr>
            <w:tcW w:type="dxa" w:w="3312"/>
            <w:vAlign w:val="center"/>
          </w:tcPr>
          <w:p>
            <w:r/>
            <w:r>
              <w:rPr>
                <w:b w:val="0"/>
                <w:sz w:val="18"/>
              </w:rPr>
              <w:t>Compare rolling-origin MAE/RMSE with baseline; report interval coverage if available.</w:t>
            </w:r>
          </w:p>
        </w:tc>
      </w:tr>
      <w:tr>
        <w:tc>
          <w:tcPr>
            <w:tcW w:type="dxa" w:w="3312"/>
            <w:vAlign w:val="center"/>
          </w:tcPr>
          <w:p>
            <w:r/>
            <w:r>
              <w:rPr>
                <w:b w:val="0"/>
                <w:sz w:val="18"/>
              </w:rPr>
              <w:t>Concentration and risk indicators</w:t>
            </w:r>
          </w:p>
        </w:tc>
        <w:tc>
          <w:tcPr>
            <w:tcW w:type="dxa" w:w="3312"/>
            <w:vAlign w:val="center"/>
          </w:tcPr>
          <w:p>
            <w:r/>
            <w:r>
              <w:rPr>
                <w:b w:val="0"/>
                <w:sz w:val="18"/>
              </w:rPr>
              <w:t>Earlier visibility into partner or market dependence.</w:t>
            </w:r>
          </w:p>
        </w:tc>
        <w:tc>
          <w:tcPr>
            <w:tcW w:type="dxa" w:w="3312"/>
            <w:vAlign w:val="center"/>
          </w:tcPr>
          <w:p>
            <w:r/>
            <w:r>
              <w:rPr>
                <w:b w:val="0"/>
                <w:sz w:val="18"/>
              </w:rPr>
              <w:t>Track indicator stability and completeness; validate against domain review.</w:t>
            </w:r>
          </w:p>
        </w:tc>
      </w:tr>
      <w:tr>
        <w:tc>
          <w:tcPr>
            <w:tcW w:type="dxa" w:w="3312"/>
            <w:vAlign w:val="center"/>
          </w:tcPr>
          <w:p>
            <w:r/>
            <w:r>
              <w:rPr>
                <w:b w:val="0"/>
                <w:sz w:val="18"/>
              </w:rPr>
              <w:t>Governed documentation</w:t>
            </w:r>
          </w:p>
        </w:tc>
        <w:tc>
          <w:tcPr>
            <w:tcW w:type="dxa" w:w="3312"/>
            <w:vAlign w:val="center"/>
          </w:tcPr>
          <w:p>
            <w:r/>
            <w:r>
              <w:rPr>
                <w:b w:val="0"/>
                <w:sz w:val="18"/>
              </w:rPr>
              <w:t>More reproducible and explainable analysis.</w:t>
            </w:r>
          </w:p>
        </w:tc>
        <w:tc>
          <w:tcPr>
            <w:tcW w:type="dxa" w:w="3312"/>
            <w:vAlign w:val="center"/>
          </w:tcPr>
          <w:p>
            <w:r/>
            <w:r>
              <w:rPr>
                <w:b w:val="0"/>
                <w:sz w:val="18"/>
              </w:rPr>
              <w:t>Audit whether another analyst can rerun the workflow from documentation.</w:t>
            </w:r>
          </w:p>
        </w:tc>
      </w:tr>
    </w:tbl>
    <w:p>
      <w:pPr>
        <w:pStyle w:val="Heading2"/>
      </w:pPr>
      <w:r>
        <w:t>7.2 Maturity roadmap</w:t>
      </w:r>
    </w:p>
    <w:p>
      <w:pPr>
        <w:pStyle w:val="ListNumber"/>
      </w:pPr>
      <w:r>
        <w:t>Foundation (0–3 months): define pilot scope, register sources, automate repeatable downloads where permitted, and implement data-quality checks.</w:t>
      </w:r>
    </w:p>
    <w:p>
      <w:pPr>
        <w:pStyle w:val="ListNumber"/>
      </w:pPr>
      <w:r>
        <w:t>Analytics (3–6 months): publish an EDA dashboard, agree on definitions with stakeholders, and begin baseline backtesting.</w:t>
      </w:r>
    </w:p>
    <w:p>
      <w:pPr>
        <w:pStyle w:val="ListNumber"/>
      </w:pPr>
      <w:r>
        <w:t>Decision support (6–12 months): expand only to series with adequate coverage; integrate expert review and a documented alert/research workflow.</w:t>
      </w:r>
    </w:p>
    <w:p>
      <w:pPr>
        <w:pStyle w:val="ListNumber"/>
      </w:pPr>
      <w:r>
        <w:t>Operationalization (12+ months): consider internal sales, orders, inventory, lead-time, cost, and supplier data under appropriate access controls; monitor forecast drift and periodically reassess usefulness.</w:t>
      </w:r>
    </w:p>
    <w:p>
      <w:r>
        <w:t>These are planning horizons, not guaranteed delivery dates. Actual timing depends on data access, team capacity, and stakeholder review.</w:t>
      </w:r>
    </w:p>
    <w:p>
      <w:pPr>
        <w:pStyle w:val="Heading1"/>
      </w:pPr>
      <w:r>
        <w:t>8. Next Steps, Research Questions &amp; Data Gaps</w:t>
      </w:r>
    </w:p>
    <w:p>
      <w:pPr>
        <w:pStyle w:val="Heading2"/>
      </w:pPr>
      <w:r>
        <w:t>8.1 Immediate next steps</w:t>
      </w:r>
    </w:p>
    <w:p>
      <w:pPr>
        <w:pStyle w:val="ListNumber"/>
      </w:pPr>
      <w:r>
        <w:t>Confirm exact product codes, country coverage, years, currency, trade flow, and aggregation grain.</w:t>
      </w:r>
    </w:p>
    <w:p>
      <w:pPr>
        <w:pStyle w:val="ListNumber"/>
      </w:pPr>
      <w:r>
        <w:t>Download a small pilot sample and verify source terms, definitions, revisions, and reproducibility.</w:t>
      </w:r>
    </w:p>
    <w:p>
      <w:pPr>
        <w:pStyle w:val="ListNumber"/>
      </w:pPr>
      <w:r>
        <w:t>Create a data dictionary and quality report; resolve high-impact missingness and duplicate-key issues.</w:t>
      </w:r>
    </w:p>
    <w:p>
      <w:pPr>
        <w:pStyle w:val="ListNumber"/>
      </w:pPr>
      <w:r>
        <w:t>Produce the planned EDA charts with captions that state observation, caveat, and follow-up.</w:t>
      </w:r>
    </w:p>
    <w:p>
      <w:pPr>
        <w:pStyle w:val="ListNumber"/>
      </w:pPr>
      <w:r>
        <w:t>Run naïve and drift baselines first; only then evaluate selected candidate models using chronological backtesting.</w:t>
      </w:r>
    </w:p>
    <w:p>
      <w:pPr>
        <w:pStyle w:val="ListNumber"/>
      </w:pPr>
      <w:r>
        <w:t>Review findings with a domain expert and document which conclusions are robust, tentative, or unsupported.</w:t>
      </w:r>
    </w:p>
    <w:p>
      <w:pPr>
        <w:pStyle w:val="ListNumber"/>
      </w:pPr>
      <w:r>
        <w:t>Prepare a concise dashboard/report and a prioritized backlog for the next iteration.</w:t>
      </w:r>
    </w:p>
    <w:p>
      <w:pPr>
        <w:pStyle w:val="Heading2"/>
      </w:pPr>
      <w:r>
        <w:t>8.2 Important data gaps</w:t>
      </w:r>
    </w:p>
    <w:p>
      <w:pPr>
        <w:pStyle w:val="ListBullet"/>
      </w:pPr>
      <w:r>
        <w:t>Company-level sell-through, order book, inventory, prices, margin, and promotions are not supplied by public trade totals.</w:t>
      </w:r>
    </w:p>
    <w:p>
      <w:pPr>
        <w:pStyle w:val="ListBullet"/>
      </w:pPr>
      <w:r>
        <w:t>Trade value may reflect price, quantity, exchange rates, inflation, and reporting changes; it is not a pure demand measure.</w:t>
      </w:r>
    </w:p>
    <w:p>
      <w:pPr>
        <w:pStyle w:val="ListBullet"/>
      </w:pPr>
      <w:r>
        <w:t>Annual observations may be too few for complex models or short-term operational forecasting.</w:t>
      </w:r>
    </w:p>
    <w:p>
      <w:pPr>
        <w:pStyle w:val="ListBullet"/>
      </w:pPr>
      <w:r>
        <w:t>Classification revisions and country reporting practices can limit cross-country comparability.</w:t>
      </w:r>
    </w:p>
    <w:p>
      <w:pPr>
        <w:pStyle w:val="ListBullet"/>
      </w:pPr>
      <w:r>
        <w:t>Labor and sustainability indicators may use different geographic, temporal, or sector definitions.</w:t>
      </w:r>
    </w:p>
    <w:p>
      <w:pPr>
        <w:pStyle w:val="ListBullet"/>
      </w:pPr>
      <w:r>
        <w:t>Publication lags and revisions may mean that a value visible today was not available at the historical forecast date.</w:t>
      </w:r>
    </w:p>
    <w:p>
      <w:pPr>
        <w:pStyle w:val="Heading2"/>
      </w:pPr>
      <w:r>
        <w:t>8.3 Further research questions</w:t>
      </w:r>
    </w:p>
    <w:p>
      <w:pPr>
        <w:pStyle w:val="ListBullet"/>
      </w:pPr>
      <w:r>
        <w:t>Does adding quantity or unit-value data improve interpretation beyond nominal trade value?</w:t>
      </w:r>
    </w:p>
    <w:p>
      <w:pPr>
        <w:pStyle w:val="ListBullet"/>
      </w:pPr>
      <w:r>
        <w:t>How sensitive are trend conclusions to product-code mappings and alternative time windows?</w:t>
      </w:r>
    </w:p>
    <w:p>
      <w:pPr>
        <w:pStyle w:val="ListBullet"/>
      </w:pPr>
      <w:r>
        <w:t>Do partner concentration measures remain stable when unknown or unreported partners are included?</w:t>
      </w:r>
    </w:p>
    <w:p>
      <w:pPr>
        <w:pStyle w:val="ListBullet"/>
      </w:pPr>
      <w:r>
        <w:t>Which external indicators are published early enough and consistently enough to be useful predictors?</w:t>
      </w:r>
    </w:p>
    <w:p>
      <w:pPr>
        <w:pStyle w:val="ListBullet"/>
      </w:pPr>
      <w:r>
        <w:t>Would monthly/quarterly data or company-level data materially improve planning relevance?</w:t>
      </w:r>
    </w:p>
    <w:p>
      <w:pPr>
        <w:pStyle w:val="ListBullet"/>
      </w:pPr>
      <w:r>
        <w:t>How should forecast uncertainty be communicated to non-technical stakeholders?</w:t>
      </w:r>
    </w:p>
    <w:p>
      <w:pPr>
        <w:pStyle w:val="Heading1"/>
      </w:pPr>
      <w:r>
        <w:t>9. Risks, Assumptions &amp; Mitigations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DEBF7"/>
          </w:tcPr>
          <w:p>
            <w:r/>
            <w:r>
              <w:rPr>
                <w:b/>
                <w:sz w:val="18"/>
              </w:rPr>
              <w:t>Risk / assumption</w:t>
            </w:r>
          </w:p>
        </w:tc>
        <w:tc>
          <w:tcPr>
            <w:tcW w:type="dxa" w:w="3312"/>
            <w:vAlign w:val="center"/>
            <w:shd w:fill="DDEBF7"/>
          </w:tcPr>
          <w:p>
            <w:r/>
            <w:r>
              <w:rPr>
                <w:b/>
                <w:sz w:val="18"/>
              </w:rPr>
              <w:t>Possible consequence</w:t>
            </w:r>
          </w:p>
        </w:tc>
        <w:tc>
          <w:tcPr>
            <w:tcW w:type="dxa" w:w="3312"/>
            <w:vAlign w:val="center"/>
            <w:shd w:fill="DDEBF7"/>
          </w:tcPr>
          <w:p>
            <w:r/>
            <w:r>
              <w:rPr>
                <w:b/>
                <w:sz w:val="18"/>
              </w:rPr>
              <w:t>Mitigation</w:t>
            </w:r>
          </w:p>
        </w:tc>
      </w:tr>
      <w:tr>
        <w:tc>
          <w:tcPr>
            <w:tcW w:type="dxa" w:w="3312"/>
            <w:vAlign w:val="center"/>
          </w:tcPr>
          <w:p>
            <w:r/>
            <w:r>
              <w:rPr>
                <w:b w:val="0"/>
                <w:sz w:val="18"/>
              </w:rPr>
              <w:t>Public trade data approximates market activity, not firm demand</w:t>
            </w:r>
          </w:p>
        </w:tc>
        <w:tc>
          <w:tcPr>
            <w:tcW w:type="dxa" w:w="3312"/>
            <w:vAlign w:val="center"/>
          </w:tcPr>
          <w:p>
            <w:r/>
            <w:r>
              <w:rPr>
                <w:b w:val="0"/>
                <w:sz w:val="18"/>
              </w:rPr>
              <w:t>Misinterpretation as sales or inventory forecast.</w:t>
            </w:r>
          </w:p>
        </w:tc>
        <w:tc>
          <w:tcPr>
            <w:tcW w:type="dxa" w:w="3312"/>
            <w:vAlign w:val="center"/>
          </w:tcPr>
          <w:p>
            <w:r/>
            <w:r>
              <w:rPr>
                <w:b w:val="0"/>
                <w:sz w:val="18"/>
              </w:rPr>
              <w:t>Label target precisely; explain scope in every output.</w:t>
            </w:r>
          </w:p>
        </w:tc>
      </w:tr>
      <w:tr>
        <w:tc>
          <w:tcPr>
            <w:tcW w:type="dxa" w:w="3312"/>
            <w:vAlign w:val="center"/>
          </w:tcPr>
          <w:p>
            <w:r/>
            <w:r>
              <w:rPr>
                <w:b w:val="0"/>
                <w:sz w:val="18"/>
              </w:rPr>
              <w:t>Missingness is systematic</w:t>
            </w:r>
          </w:p>
        </w:tc>
        <w:tc>
          <w:tcPr>
            <w:tcW w:type="dxa" w:w="3312"/>
            <w:vAlign w:val="center"/>
          </w:tcPr>
          <w:p>
            <w:r/>
            <w:r>
              <w:rPr>
                <w:b w:val="0"/>
                <w:sz w:val="18"/>
              </w:rPr>
              <w:t>Biased market comparisons.</w:t>
            </w:r>
          </w:p>
        </w:tc>
        <w:tc>
          <w:tcPr>
            <w:tcW w:type="dxa" w:w="3312"/>
            <w:vAlign w:val="center"/>
          </w:tcPr>
          <w:p>
            <w:r/>
            <w:r>
              <w:rPr>
                <w:b w:val="0"/>
                <w:sz w:val="18"/>
              </w:rPr>
              <w:t>Profile by dimensions; exclude or qualify unsupported comparisons.</w:t>
            </w:r>
          </w:p>
        </w:tc>
      </w:tr>
      <w:tr>
        <w:tc>
          <w:tcPr>
            <w:tcW w:type="dxa" w:w="3312"/>
            <w:vAlign w:val="center"/>
          </w:tcPr>
          <w:p>
            <w:r/>
            <w:r>
              <w:rPr>
                <w:b w:val="0"/>
                <w:sz w:val="18"/>
              </w:rPr>
              <w:t>Classification or methodology changes</w:t>
            </w:r>
          </w:p>
        </w:tc>
        <w:tc>
          <w:tcPr>
            <w:tcW w:type="dxa" w:w="3312"/>
            <w:vAlign w:val="center"/>
          </w:tcPr>
          <w:p>
            <w:r/>
            <w:r>
              <w:rPr>
                <w:b w:val="0"/>
                <w:sz w:val="18"/>
              </w:rPr>
              <w:t>Artificial trend breaks.</w:t>
            </w:r>
          </w:p>
        </w:tc>
        <w:tc>
          <w:tcPr>
            <w:tcW w:type="dxa" w:w="3312"/>
            <w:vAlign w:val="center"/>
          </w:tcPr>
          <w:p>
            <w:r/>
            <w:r>
              <w:rPr>
                <w:b w:val="0"/>
                <w:sz w:val="18"/>
              </w:rPr>
              <w:t>Maintain code-version metadata; investigate and segment where necessary.</w:t>
            </w:r>
          </w:p>
        </w:tc>
      </w:tr>
      <w:tr>
        <w:tc>
          <w:tcPr>
            <w:tcW w:type="dxa" w:w="3312"/>
            <w:vAlign w:val="center"/>
          </w:tcPr>
          <w:p>
            <w:r/>
            <w:r>
              <w:rPr>
                <w:b w:val="0"/>
                <w:sz w:val="18"/>
              </w:rPr>
              <w:t>Small annual sample</w:t>
            </w:r>
          </w:p>
        </w:tc>
        <w:tc>
          <w:tcPr>
            <w:tcW w:type="dxa" w:w="3312"/>
            <w:vAlign w:val="center"/>
          </w:tcPr>
          <w:p>
            <w:r/>
            <w:r>
              <w:rPr>
                <w:b w:val="0"/>
                <w:sz w:val="18"/>
              </w:rPr>
              <w:t>Unstable forecasts and overfitting.</w:t>
            </w:r>
          </w:p>
        </w:tc>
        <w:tc>
          <w:tcPr>
            <w:tcW w:type="dxa" w:w="3312"/>
            <w:vAlign w:val="center"/>
          </w:tcPr>
          <w:p>
            <w:r/>
            <w:r>
              <w:rPr>
                <w:b w:val="0"/>
                <w:sz w:val="18"/>
              </w:rPr>
              <w:t>Use simple baselines; restrict complexity; report test sample size.</w:t>
            </w:r>
          </w:p>
        </w:tc>
      </w:tr>
      <w:tr>
        <w:tc>
          <w:tcPr>
            <w:tcW w:type="dxa" w:w="3312"/>
            <w:vAlign w:val="center"/>
          </w:tcPr>
          <w:p>
            <w:r/>
            <w:r>
              <w:rPr>
                <w:b w:val="0"/>
                <w:sz w:val="18"/>
              </w:rPr>
              <w:t>External features unavailable at forecast origin</w:t>
            </w:r>
          </w:p>
        </w:tc>
        <w:tc>
          <w:tcPr>
            <w:tcW w:type="dxa" w:w="3312"/>
            <w:vAlign w:val="center"/>
          </w:tcPr>
          <w:p>
            <w:r/>
            <w:r>
              <w:rPr>
                <w:b w:val="0"/>
                <w:sz w:val="18"/>
              </w:rPr>
              <w:t>Data leakage and inflated accuracy.</w:t>
            </w:r>
          </w:p>
        </w:tc>
        <w:tc>
          <w:tcPr>
            <w:tcW w:type="dxa" w:w="3312"/>
            <w:vAlign w:val="center"/>
          </w:tcPr>
          <w:p>
            <w:r/>
            <w:r>
              <w:rPr>
                <w:b w:val="0"/>
                <w:sz w:val="18"/>
              </w:rPr>
              <w:t>Track publication dates and simulate real-time availability.</w:t>
            </w:r>
          </w:p>
        </w:tc>
      </w:tr>
      <w:tr>
        <w:tc>
          <w:tcPr>
            <w:tcW w:type="dxa" w:w="3312"/>
            <w:vAlign w:val="center"/>
          </w:tcPr>
          <w:p>
            <w:r/>
            <w:r>
              <w:rPr>
                <w:b w:val="0"/>
                <w:sz w:val="18"/>
              </w:rPr>
              <w:t>Decision-makers treat point forecasts as certainty</w:t>
            </w:r>
          </w:p>
        </w:tc>
        <w:tc>
          <w:tcPr>
            <w:tcW w:type="dxa" w:w="3312"/>
            <w:vAlign w:val="center"/>
          </w:tcPr>
          <w:p>
            <w:r/>
            <w:r>
              <w:rPr>
                <w:b w:val="0"/>
                <w:sz w:val="18"/>
              </w:rPr>
              <w:t>Overconfident planning.</w:t>
            </w:r>
          </w:p>
        </w:tc>
        <w:tc>
          <w:tcPr>
            <w:tcW w:type="dxa" w:w="3312"/>
            <w:vAlign w:val="center"/>
          </w:tcPr>
          <w:p>
            <w:r/>
            <w:r>
              <w:rPr>
                <w:b w:val="0"/>
                <w:sz w:val="18"/>
              </w:rPr>
              <w:t>Report errors, ranges where justified, caveats, and human review.</w:t>
            </w:r>
          </w:p>
        </w:tc>
      </w:tr>
    </w:tbl>
    <w:p>
      <w:pPr>
        <w:pStyle w:val="Heading1"/>
      </w:pPr>
      <w:r>
        <w:t>10. Conclusion</w:t>
      </w:r>
    </w:p>
    <w:p>
      <w:r>
        <w:t>Weeks 1–4 establish a coherent path from data discovery to a tested analytical output. The key strategic recommendation is to prioritize trustworthy, traceable data and interpretable market monitoring before expanding model complexity. A narrow pilot, explicit quality gates, robust EDA, chronological backtesting, and expert review can create a repeatable foundation for future analytics. The next phase should close the most consequential data gaps—especially company-level demand and operational variables—before extending forecasts into decisions such as inventory, sourcing, or financial planning.</w:t>
      </w:r>
    </w:p>
    <w:p>
      <w:pPr>
        <w:pStyle w:val="Heading1"/>
      </w:pPr>
      <w:r>
        <w:t>Appendix A — Proposed Project Structure</w:t>
      </w:r>
    </w:p>
    <w:p>
      <w:r>
        <w:t>apparel-textile-data-landscape/</w:t>
      </w:r>
    </w:p>
    <w:p>
      <w:pPr>
        <w:pStyle w:val="ListBullet"/>
      </w:pPr>
      <w:r>
        <w:t>README.md — project overview, scope, reproducibility, and caveats</w:t>
      </w:r>
    </w:p>
    <w:p>
      <w:pPr>
        <w:pStyle w:val="ListBullet"/>
      </w:pPr>
      <w:r>
        <w:t>week1/Week_1_Data_Landscape_Strategy.docx</w:t>
      </w:r>
    </w:p>
    <w:p>
      <w:pPr>
        <w:pStyle w:val="ListBullet"/>
      </w:pPr>
      <w:r>
        <w:t>week2/Week_2_Data_Collection_Preprocessing_Plan.docx</w:t>
      </w:r>
    </w:p>
    <w:p>
      <w:pPr>
        <w:pStyle w:val="ListBullet"/>
      </w:pPr>
      <w:r>
        <w:t>week3/Week_3_EDA_and_Visualization_Framework.docx</w:t>
      </w:r>
    </w:p>
    <w:p>
      <w:pPr>
        <w:pStyle w:val="ListBullet"/>
      </w:pPr>
      <w:r>
        <w:t>week4/Week_4_Predictive_Modeling_Analytical_Approach.docx</w:t>
      </w:r>
    </w:p>
    <w:p>
      <w:pPr>
        <w:pStyle w:val="ListBullet"/>
      </w:pPr>
      <w:r>
        <w:t>week5/Week_5_Comprehensive_Report_Strategic_Recommendations.docx</w:t>
      </w:r>
    </w:p>
    <w:p>
      <w:pPr>
        <w:pStyle w:val="ListBullet"/>
      </w:pPr>
      <w:r>
        <w:t>data/raw/ — source files, subject to license and repository-size rules</w:t>
      </w:r>
    </w:p>
    <w:p>
      <w:pPr>
        <w:pStyle w:val="ListBullet"/>
      </w:pPr>
      <w:r>
        <w:t>data/processed/ — reproducible cleaned outputs, where sharing is permitted</w:t>
      </w:r>
    </w:p>
    <w:p>
      <w:pPr>
        <w:pStyle w:val="ListBullet"/>
      </w:pPr>
      <w:r>
        <w:t>notebooks/ — exploratory and validation notebooks</w:t>
      </w:r>
    </w:p>
    <w:p>
      <w:pPr>
        <w:pStyle w:val="ListBullet"/>
      </w:pPr>
      <w:r>
        <w:t>src/ — reusable collection, cleaning, and evaluation scripts</w:t>
      </w:r>
    </w:p>
    <w:p>
      <w:pPr>
        <w:pStyle w:val="ListBullet"/>
      </w:pPr>
      <w:r>
        <w:t>reports/figures/ — generated charts and final visuals</w:t>
      </w:r>
    </w:p>
    <w:p>
      <w:pPr>
        <w:pStyle w:val="ListBullet"/>
      </w:pPr>
      <w:r>
        <w:t>docs/data_dictionary.md and docs/source_register.csv</w:t>
      </w:r>
    </w:p>
    <w:p>
      <w:pPr>
        <w:pStyle w:val="Heading1"/>
      </w:pPr>
      <w:r>
        <w:t>Appendix B — Definition of Done</w:t>
      </w:r>
    </w:p>
    <w:p>
      <w:pPr>
        <w:pStyle w:val="ListBullet"/>
      </w:pPr>
      <w:r>
        <w:t>All five weekly deliverables are separate, clearly named, and mutually consistent.</w:t>
      </w:r>
    </w:p>
    <w:p>
      <w:pPr>
        <w:pStyle w:val="ListBullet"/>
      </w:pPr>
      <w:r>
        <w:t>Source register and data dictionary document source, unit, grain, time coverage, and limitations.</w:t>
      </w:r>
    </w:p>
    <w:p>
      <w:pPr>
        <w:pStyle w:val="ListBullet"/>
      </w:pPr>
      <w:r>
        <w:t>Collection and cleaning steps are reproducible and logged.</w:t>
      </w:r>
    </w:p>
    <w:p>
      <w:pPr>
        <w:pStyle w:val="ListBullet"/>
      </w:pPr>
      <w:r>
        <w:t>EDA includes at least five meaningful visualizations with interpretations and caveats.</w:t>
      </w:r>
    </w:p>
    <w:p>
      <w:pPr>
        <w:pStyle w:val="ListBullet"/>
      </w:pPr>
      <w:r>
        <w:t>Forecasting compares at least two algorithms plus a baseline using chronological validation.</w:t>
      </w:r>
    </w:p>
    <w:p>
      <w:pPr>
        <w:pStyle w:val="ListBullet"/>
      </w:pPr>
      <w:r>
        <w:t>MAE/RMSE and test sample size are reported; illustrative values are not presented as actual results.</w:t>
      </w:r>
    </w:p>
    <w:p>
      <w:pPr>
        <w:pStyle w:val="ListBullet"/>
      </w:pPr>
      <w:r>
        <w:t>Recommendations are linked to evidence, limitations, owners, and next steps.</w:t>
      </w:r>
    </w:p>
    <w:p>
      <w:pPr>
        <w:pStyle w:val="ListBullet"/>
      </w:pPr>
      <w:r>
        <w:t>Final report includes unresolved gaps and a realistic research backlog.</w:t>
      </w:r>
    </w:p>
    <w:p>
      <w:pPr>
        <w:pStyle w:val="Heading1"/>
      </w:pPr>
      <w:r>
        <w:t>Appendix C — Suggested Submission Description (200+ words)</w:t>
      </w:r>
    </w:p>
    <w:p>
      <w:r>
        <w:t>This Week 5 final report synthesizes the apparel and textiles internship work completed across Weeks 1–4 into a comprehensive, practical strategy for data-driven market analysis. It connects the initial data landscape and business-question mapping with a structured collection and preprocessing plan, an exploratory data analysis framework, and a predictive modeling approach based on explicit forecasting definitions and chronological validation. The report proposes a narrowly scoped annual trade-value monitoring pilot and clearly distinguishes public trade statistics from company-level retail sales, demand, inventory, or profitability. It summarizes candidate data-source families, data-quality acceptance checks, descriptive metrics, visualization questions, baseline and candidate forecasting methods, and model evaluation measures such as MAE and RMSE. It also includes concrete illustrative calculations to explain growth rates, partner concentration, missingness, and forecast error; these examples are labeled as demonstrations rather than observed findings or trained-model results. The strategic recommendations prioritize a reusable and governed data foundation, formal EDA release gates, baseline-first forecasting, human-reviewed market signals, and continuous feedback from domain experts. Finally, the report outlines expected business-impact pathways, a staged long-term maturity roadmap, immediate implementation steps, further research questions, and major data gaps—including the lack of firm-level orders, inventory, prices, and margins in public trade datasets. The intended outcome is a transparent and reproducible foundation that can be expanded only when data quality, validation evidence, and stakeholder needs justify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Apparel &amp; Textiles | Week 5 Final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A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