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99EA" w14:textId="6E53746A" w:rsidR="00EE3295" w:rsidRDefault="00000000">
      <w:pPr>
        <w:spacing w:after="0" w:line="259" w:lineRule="auto"/>
        <w:ind w:left="191" w:firstLine="0"/>
        <w:jc w:val="center"/>
      </w:pPr>
      <w:r>
        <w:rPr>
          <w:b/>
          <w:color w:val="1A237E"/>
          <w:sz w:val="44"/>
        </w:rPr>
        <w:t>Super</w:t>
      </w:r>
      <w:r w:rsidR="00D90175">
        <w:rPr>
          <w:b/>
          <w:color w:val="1A237E"/>
          <w:sz w:val="44"/>
        </w:rPr>
        <w:t xml:space="preserve"> </w:t>
      </w:r>
      <w:r>
        <w:rPr>
          <w:b/>
          <w:color w:val="1A237E"/>
          <w:sz w:val="44"/>
        </w:rPr>
        <w:t>Store Sales Analysis</w:t>
      </w:r>
    </w:p>
    <w:p w14:paraId="5B48542A" w14:textId="77777777" w:rsidR="00EE3295" w:rsidRDefault="00000000">
      <w:pPr>
        <w:spacing w:after="61" w:line="259" w:lineRule="auto"/>
        <w:ind w:left="191" w:firstLine="0"/>
        <w:jc w:val="center"/>
      </w:pPr>
      <w:r>
        <w:rPr>
          <w:color w:val="455A64"/>
          <w:sz w:val="22"/>
        </w:rPr>
        <w:t>Power BI Dashboard Insights Report | 2015 – 2018</w:t>
      </w:r>
    </w:p>
    <w:p w14:paraId="00D1B067" w14:textId="77777777" w:rsidR="00EE3295" w:rsidRDefault="00000000">
      <w:pPr>
        <w:spacing w:after="619" w:line="259" w:lineRule="auto"/>
        <w:ind w:left="0" w:right="-1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9F62DE" wp14:editId="0BA0CD52">
                <wp:extent cx="6248400" cy="25400"/>
                <wp:effectExtent l="0" t="0" r="0" b="0"/>
                <wp:docPr id="3074" name="Group 3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25400"/>
                          <a:chOff x="0" y="0"/>
                          <a:chExt cx="6248400" cy="254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4" style="width:492pt;height:2pt;mso-position-horizontal-relative:char;mso-position-vertical-relative:line" coordsize="62484,254">
                <v:shape id="Shape 8" style="position:absolute;width:62484;height:0;left:0;top:0;" coordsize="6248400,0" path="m0,0l6248400,0">
                  <v:stroke weight="2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07690B2E" w14:textId="77777777" w:rsidR="00EE3295" w:rsidRDefault="00000000">
      <w:pPr>
        <w:pStyle w:val="Heading1"/>
        <w:ind w:left="-5"/>
      </w:pPr>
      <w:r>
        <w:t>Key Performance Indicators (KPI Summary)</w:t>
      </w:r>
    </w:p>
    <w:tbl>
      <w:tblPr>
        <w:tblStyle w:val="TableGrid"/>
        <w:tblW w:w="10080" w:type="dxa"/>
        <w:tblInd w:w="-120" w:type="dxa"/>
        <w:tblCellMar>
          <w:top w:w="10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744"/>
      </w:tblGrid>
      <w:tr w:rsidR="00EE3295" w14:paraId="2F5745EE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63DE9A2F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6DCDE46F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0EC1794D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 w:rsidR="00EE3295" w14:paraId="670B7F85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22295D3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Total Revenue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3DA9BBD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$2,221,225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4958491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✓</w:t>
            </w:r>
            <w:r>
              <w:rPr>
                <w:color w:val="000000"/>
                <w:sz w:val="18"/>
              </w:rPr>
              <w:t xml:space="preserve"> Generated</w:t>
            </w:r>
          </w:p>
        </w:tc>
      </w:tr>
      <w:tr w:rsidR="00EE3295" w14:paraId="7BC6EA2E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F281125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Total Orders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F268DA2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4,809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5146DDA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✓</w:t>
            </w:r>
            <w:r>
              <w:rPr>
                <w:color w:val="000000"/>
                <w:sz w:val="18"/>
              </w:rPr>
              <w:t xml:space="preserve"> Recorded</w:t>
            </w:r>
          </w:p>
        </w:tc>
      </w:tr>
      <w:tr w:rsidR="00EE3295" w14:paraId="5A601B7B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912EA70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Profit Margin %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5B88AC1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-1.30%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3AFCD35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C62828"/>
                <w:sz w:val="18"/>
              </w:rPr>
              <w:t>✗</w:t>
            </w:r>
            <w:r>
              <w:rPr>
                <w:color w:val="C62828"/>
                <w:sz w:val="18"/>
              </w:rPr>
              <w:t xml:space="preserve"> NEGATIVE</w:t>
            </w:r>
          </w:p>
        </w:tc>
      </w:tr>
      <w:tr w:rsidR="00EE3295" w14:paraId="6AC9944B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40B247C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Profit vs Goal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A838AFB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$1,418 vs $12,507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377822C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C62828"/>
                <w:sz w:val="18"/>
              </w:rPr>
              <w:t>✗</w:t>
            </w:r>
            <w:r>
              <w:rPr>
                <w:color w:val="C62828"/>
                <w:sz w:val="18"/>
              </w:rPr>
              <w:t xml:space="preserve"> -88.67% Below Goal</w:t>
            </w:r>
          </w:p>
        </w:tc>
      </w:tr>
      <w:tr w:rsidR="00EE3295" w14:paraId="7DB35117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24AF7EF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Profitable Rate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1165AE0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63%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1A90F0D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E65100"/>
                <w:sz w:val="18"/>
              </w:rPr>
              <w:t>■</w:t>
            </w:r>
            <w:r>
              <w:rPr>
                <w:color w:val="E65100"/>
                <w:sz w:val="18"/>
              </w:rPr>
              <w:t xml:space="preserve"> 37% Orders Losing Money</w:t>
            </w:r>
          </w:p>
        </w:tc>
      </w:tr>
      <w:tr w:rsidR="00EE3295" w14:paraId="18D5B9B4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33AEACC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Average Order Value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64E6F4C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$459.5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A10929E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■</w:t>
            </w:r>
            <w:r>
              <w:rPr>
                <w:color w:val="000000"/>
                <w:sz w:val="18"/>
              </w:rPr>
              <w:t xml:space="preserve"> Low</w:t>
            </w:r>
          </w:p>
        </w:tc>
      </w:tr>
      <w:tr w:rsidR="00EE3295" w14:paraId="4D85B7C1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A41DCFF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Avg Days to Ship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BC7FBBA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4 Days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210E749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✓</w:t>
            </w:r>
            <w:r>
              <w:rPr>
                <w:color w:val="000000"/>
                <w:sz w:val="18"/>
              </w:rPr>
              <w:t xml:space="preserve"> Acceptable</w:t>
            </w:r>
          </w:p>
        </w:tc>
      </w:tr>
      <w:tr w:rsidR="00EE3295" w14:paraId="04104E9E" w14:textId="77777777">
        <w:trPr>
          <w:trHeight w:val="360"/>
        </w:trPr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DE757F5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Profitable Orders</w:t>
            </w:r>
          </w:p>
        </w:tc>
        <w:tc>
          <w:tcPr>
            <w:tcW w:w="316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F261A9C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8"/>
              </w:rPr>
              <w:t>3,103 / 4,809</w:t>
            </w:r>
          </w:p>
        </w:tc>
        <w:tc>
          <w:tcPr>
            <w:tcW w:w="374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3D7ACE4" w14:textId="77777777" w:rsidR="00EE329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■</w:t>
            </w:r>
            <w:r>
              <w:rPr>
                <w:color w:val="000000"/>
                <w:sz w:val="18"/>
              </w:rPr>
              <w:t xml:space="preserve"> 1,706 Unprofitable</w:t>
            </w:r>
          </w:p>
        </w:tc>
      </w:tr>
    </w:tbl>
    <w:p w14:paraId="00A4C830" w14:textId="77777777" w:rsidR="00EE3295" w:rsidRDefault="00000000">
      <w:pPr>
        <w:pBdr>
          <w:top w:val="single" w:sz="8" w:space="0" w:color="EF9A9A"/>
          <w:left w:val="single" w:sz="8" w:space="0" w:color="EF9A9A"/>
          <w:bottom w:val="single" w:sz="8" w:space="0" w:color="EF9A9A"/>
          <w:right w:val="single" w:sz="8" w:space="0" w:color="EF9A9A"/>
        </w:pBdr>
        <w:shd w:val="clear" w:color="auto" w:fill="FFEBEE"/>
        <w:spacing w:after="139" w:line="313" w:lineRule="auto"/>
        <w:ind w:left="0" w:firstLine="0"/>
      </w:pPr>
      <w:r>
        <w:rPr>
          <w:b/>
          <w:color w:val="B71C1C"/>
        </w:rPr>
        <w:t>The store is generating revenue but NOT making profit. Sales volume is high, but money is being lost on a large portion of orders — this is the core business problem.</w:t>
      </w:r>
    </w:p>
    <w:p w14:paraId="4CA0832C" w14:textId="77777777" w:rsidR="00EE3295" w:rsidRDefault="00000000">
      <w:pPr>
        <w:spacing w:after="359" w:line="259" w:lineRule="auto"/>
        <w:ind w:left="0" w:right="-1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F18121" wp14:editId="75F3AD9F">
                <wp:extent cx="6248400" cy="12700"/>
                <wp:effectExtent l="0" t="0" r="0" b="0"/>
                <wp:docPr id="3075" name="Group 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FA8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5" style="width:492pt;height:1pt;mso-position-horizontal-relative:char;mso-position-vertical-relative:line" coordsize="62484,127">
                <v:shape id="Shape 71" style="position:absolute;width:62484;height:0;left:0;top:0;" coordsize="6248400,0" path="m0,0l6248400,0">
                  <v:stroke weight="1pt" endcap="round" joinstyle="miter" miterlimit="10" on="true" color="#9fa8da"/>
                  <v:fill on="false" color="#000000" opacity="0"/>
                </v:shape>
              </v:group>
            </w:pict>
          </mc:Fallback>
        </mc:AlternateContent>
      </w:r>
    </w:p>
    <w:p w14:paraId="44D50F7E" w14:textId="77777777" w:rsidR="00EE3295" w:rsidRDefault="00000000">
      <w:pPr>
        <w:pStyle w:val="Heading1"/>
        <w:spacing w:after="252"/>
        <w:ind w:left="-5"/>
      </w:pPr>
      <w:r>
        <w:t>Page-by-Page Dashboard Insights</w:t>
      </w:r>
    </w:p>
    <w:p w14:paraId="3CC03847" w14:textId="77777777" w:rsidR="00EE3295" w:rsidRDefault="00000000">
      <w:pPr>
        <w:pStyle w:val="Heading2"/>
        <w:spacing w:after="102"/>
        <w:ind w:left="-5"/>
      </w:pPr>
      <w:r>
        <w:rPr>
          <w:color w:val="0D47A1"/>
          <w:sz w:val="24"/>
        </w:rPr>
        <w:t>Page 1 — Home Page</w:t>
      </w:r>
    </w:p>
    <w:p w14:paraId="353BDE06" w14:textId="77777777" w:rsidR="00EE3295" w:rsidRDefault="00000000">
      <w:pPr>
        <w:numPr>
          <w:ilvl w:val="0"/>
          <w:numId w:val="1"/>
        </w:numPr>
        <w:ind w:hanging="126"/>
      </w:pPr>
      <w:r>
        <w:t>Sales volume is growing from 2015 to 2018, but profit is NOT growing alongside it.</w:t>
      </w:r>
    </w:p>
    <w:p w14:paraId="54C16B0A" w14:textId="77777777" w:rsidR="00EE3295" w:rsidRDefault="00000000">
      <w:pPr>
        <w:numPr>
          <w:ilvl w:val="0"/>
          <w:numId w:val="1"/>
        </w:numPr>
        <w:ind w:hanging="126"/>
      </w:pPr>
      <w:r>
        <w:t>Binders and Paper are the most ordered sub-categories — both are very low-margin items.</w:t>
      </w:r>
    </w:p>
    <w:p w14:paraId="1B3436D3" w14:textId="77777777" w:rsidR="00EE3295" w:rsidRDefault="00000000">
      <w:pPr>
        <w:numPr>
          <w:ilvl w:val="0"/>
          <w:numId w:val="1"/>
        </w:numPr>
        <w:spacing w:after="467"/>
        <w:ind w:hanging="126"/>
      </w:pPr>
      <w:r>
        <w:t>The widening gap between revenue growth and profit growth is the core warning signal.</w:t>
      </w:r>
    </w:p>
    <w:p w14:paraId="3D280E79" w14:textId="77777777" w:rsidR="00EE3295" w:rsidRDefault="00000000">
      <w:pPr>
        <w:pStyle w:val="Heading2"/>
        <w:spacing w:after="102"/>
        <w:ind w:left="-5"/>
      </w:pPr>
      <w:r>
        <w:rPr>
          <w:color w:val="0D47A1"/>
          <w:sz w:val="24"/>
        </w:rPr>
        <w:t>Page 2 — Executive Overview</w:t>
      </w:r>
    </w:p>
    <w:p w14:paraId="44C01F48" w14:textId="77777777" w:rsidR="00EE3295" w:rsidRDefault="00000000">
      <w:pPr>
        <w:numPr>
          <w:ilvl w:val="0"/>
          <w:numId w:val="2"/>
        </w:numPr>
        <w:ind w:hanging="126"/>
      </w:pPr>
      <w:r>
        <w:t>9,914 units sold but only 3,103 profitable orders out of 4,809 total.</w:t>
      </w:r>
    </w:p>
    <w:p w14:paraId="197CF981" w14:textId="77777777" w:rsidR="00EE3295" w:rsidRDefault="00000000">
      <w:pPr>
        <w:numPr>
          <w:ilvl w:val="0"/>
          <w:numId w:val="2"/>
        </w:numPr>
        <w:ind w:hanging="126"/>
      </w:pPr>
      <w:r>
        <w:t>1,706 orders (35%) are actively losing money — a massive internal leak.</w:t>
      </w:r>
    </w:p>
    <w:p w14:paraId="6A7C965D" w14:textId="77777777" w:rsidR="00EE3295" w:rsidRDefault="00000000">
      <w:pPr>
        <w:numPr>
          <w:ilvl w:val="0"/>
          <w:numId w:val="2"/>
        </w:numPr>
        <w:ind w:hanging="126"/>
      </w:pPr>
      <w:r>
        <w:t>Office Supplies has the most orders but the lowest average order value.</w:t>
      </w:r>
    </w:p>
    <w:p w14:paraId="48A15915" w14:textId="77777777" w:rsidR="00EE3295" w:rsidRDefault="00000000">
      <w:pPr>
        <w:numPr>
          <w:ilvl w:val="0"/>
          <w:numId w:val="2"/>
        </w:numPr>
        <w:ind w:hanging="126"/>
      </w:pPr>
      <w:r>
        <w:t>Chairs ($580) and Phones ($400) have the highest AOV but fewer orders.</w:t>
      </w:r>
    </w:p>
    <w:p w14:paraId="70E358A9" w14:textId="77777777" w:rsidR="00EE3295" w:rsidRDefault="00000000">
      <w:pPr>
        <w:numPr>
          <w:ilvl w:val="0"/>
          <w:numId w:val="2"/>
        </w:numPr>
        <w:spacing w:after="467"/>
        <w:ind w:hanging="126"/>
      </w:pPr>
      <w:r>
        <w:t>Avg Days to Ship = 4 days — acceptable, but improvement possible.</w:t>
      </w:r>
    </w:p>
    <w:p w14:paraId="5CCD4A06" w14:textId="77777777" w:rsidR="00EE3295" w:rsidRDefault="00000000">
      <w:pPr>
        <w:pStyle w:val="Heading2"/>
        <w:spacing w:after="102"/>
        <w:ind w:left="-5"/>
      </w:pPr>
      <w:r>
        <w:rPr>
          <w:color w:val="0D47A1"/>
          <w:sz w:val="24"/>
        </w:rPr>
        <w:lastRenderedPageBreak/>
        <w:t>Page 3 — Categorical View</w:t>
      </w:r>
    </w:p>
    <w:p w14:paraId="4A9DA11F" w14:textId="77777777" w:rsidR="00EE3295" w:rsidRDefault="00000000">
      <w:pPr>
        <w:numPr>
          <w:ilvl w:val="0"/>
          <w:numId w:val="3"/>
        </w:numPr>
        <w:ind w:hanging="126"/>
      </w:pPr>
      <w:r>
        <w:t>Overall Profit Margin = -1.4% — sitting deep in the RED zone (target was 5.0%).</w:t>
      </w:r>
    </w:p>
    <w:p w14:paraId="1C3AED0B" w14:textId="77777777" w:rsidR="00EE3295" w:rsidRDefault="00000000">
      <w:pPr>
        <w:numPr>
          <w:ilvl w:val="0"/>
          <w:numId w:val="3"/>
        </w:numPr>
        <w:ind w:hanging="126"/>
      </w:pPr>
      <w:r>
        <w:t>Standard Class shipping = 59.29% of all orders — customers prefer cheapest delivery.</w:t>
      </w:r>
    </w:p>
    <w:p w14:paraId="1BA47D1D" w14:textId="77777777" w:rsidR="00EE3295" w:rsidRDefault="00000000">
      <w:pPr>
        <w:numPr>
          <w:ilvl w:val="0"/>
          <w:numId w:val="3"/>
        </w:numPr>
        <w:ind w:hanging="126"/>
      </w:pPr>
      <w:r>
        <w:t>Technology leads with 36.6% of total sales.</w:t>
      </w:r>
    </w:p>
    <w:p w14:paraId="10608B45" w14:textId="77777777" w:rsidR="00EE3295" w:rsidRDefault="00000000">
      <w:pPr>
        <w:numPr>
          <w:ilvl w:val="0"/>
          <w:numId w:val="3"/>
        </w:numPr>
        <w:ind w:hanging="126"/>
      </w:pPr>
      <w:r>
        <w:t>Furniture = 32.2% revenue but is a confirmed loss-making category.</w:t>
      </w:r>
    </w:p>
    <w:p w14:paraId="62CB7F5A" w14:textId="77777777" w:rsidR="00EE3295" w:rsidRDefault="00000000">
      <w:pPr>
        <w:numPr>
          <w:ilvl w:val="0"/>
          <w:numId w:val="3"/>
        </w:numPr>
        <w:spacing w:after="467"/>
        <w:ind w:hanging="126"/>
      </w:pPr>
      <w:r>
        <w:t>Washington State is the most profitable; South states are severely underperforming.</w:t>
      </w:r>
    </w:p>
    <w:p w14:paraId="33E17CC2" w14:textId="77777777" w:rsidR="00EE3295" w:rsidRDefault="00000000">
      <w:pPr>
        <w:pStyle w:val="Heading2"/>
        <w:spacing w:after="102"/>
        <w:ind w:left="-5"/>
      </w:pPr>
      <w:r>
        <w:rPr>
          <w:color w:val="0D47A1"/>
          <w:sz w:val="24"/>
        </w:rPr>
        <w:t>Page 4 — Customer Analytics</w:t>
      </w:r>
    </w:p>
    <w:p w14:paraId="6C7BE8E1" w14:textId="77777777" w:rsidR="00EE3295" w:rsidRDefault="00000000">
      <w:pPr>
        <w:numPr>
          <w:ilvl w:val="0"/>
          <w:numId w:val="4"/>
        </w:numPr>
        <w:ind w:hanging="126"/>
      </w:pPr>
      <w:r>
        <w:t>West Region dominates with $744,294 — nearly double the South Region ($396,641).</w:t>
      </w:r>
    </w:p>
    <w:p w14:paraId="68A1E7BD" w14:textId="77777777" w:rsidR="00EE3295" w:rsidRDefault="00000000">
      <w:pPr>
        <w:numPr>
          <w:ilvl w:val="0"/>
          <w:numId w:val="4"/>
        </w:numPr>
        <w:ind w:hanging="126"/>
      </w:pPr>
      <w:r>
        <w:t>Top customer Sean Miller spent $22,638 on a single product — high-value customers are rare.</w:t>
      </w:r>
    </w:p>
    <w:p w14:paraId="26441BFF" w14:textId="77777777" w:rsidR="00EE3295" w:rsidRDefault="00000000">
      <w:pPr>
        <w:numPr>
          <w:ilvl w:val="0"/>
          <w:numId w:val="4"/>
        </w:numPr>
        <w:ind w:hanging="126"/>
      </w:pPr>
      <w:r>
        <w:t>Consumer Segment ($268K) &gt; Corporate ($216K) &gt; Home Office ($121K).</w:t>
      </w:r>
    </w:p>
    <w:p w14:paraId="1DF2D36A" w14:textId="77777777" w:rsidR="00EE3295" w:rsidRDefault="00000000">
      <w:pPr>
        <w:numPr>
          <w:ilvl w:val="0"/>
          <w:numId w:val="4"/>
        </w:numPr>
        <w:ind w:hanging="126"/>
      </w:pPr>
      <w:r>
        <w:t>Technology leads with $827K in total sales.</w:t>
      </w:r>
    </w:p>
    <w:p w14:paraId="07A551D1" w14:textId="77777777" w:rsidR="00EE3295" w:rsidRDefault="00000000">
      <w:pPr>
        <w:numPr>
          <w:ilvl w:val="0"/>
          <w:numId w:val="4"/>
        </w:numPr>
        <w:spacing w:after="467"/>
        <w:ind w:hanging="126"/>
      </w:pPr>
      <w:r>
        <w:t>Furniture ($729K revenue) is a major drag on overall profitability.</w:t>
      </w:r>
    </w:p>
    <w:p w14:paraId="6C407D44" w14:textId="77777777" w:rsidR="00EE3295" w:rsidRDefault="00000000">
      <w:pPr>
        <w:pStyle w:val="Heading2"/>
        <w:spacing w:after="102"/>
        <w:ind w:left="-5"/>
      </w:pPr>
      <w:r>
        <w:rPr>
          <w:color w:val="0D47A1"/>
          <w:sz w:val="24"/>
        </w:rPr>
        <w:t>Page 5 — Market Analysis</w:t>
      </w:r>
    </w:p>
    <w:p w14:paraId="01127857" w14:textId="77777777" w:rsidR="00EE3295" w:rsidRDefault="00000000">
      <w:pPr>
        <w:numPr>
          <w:ilvl w:val="0"/>
          <w:numId w:val="5"/>
        </w:numPr>
        <w:ind w:hanging="126"/>
      </w:pPr>
      <w:r>
        <w:t>California, New York, and Texas are the top 3 customer states.</w:t>
      </w:r>
    </w:p>
    <w:p w14:paraId="3C9F64F7" w14:textId="77777777" w:rsidR="00EE3295" w:rsidRDefault="00000000">
      <w:pPr>
        <w:numPr>
          <w:ilvl w:val="0"/>
          <w:numId w:val="5"/>
        </w:numPr>
        <w:ind w:hanging="126"/>
      </w:pPr>
      <w:r>
        <w:t>Furniture shows NEGATIVE profit margin consistently across all 4 years (2015–2018).</w:t>
      </w:r>
    </w:p>
    <w:p w14:paraId="49F13CE2" w14:textId="77777777" w:rsidR="00EE3295" w:rsidRDefault="00000000">
      <w:pPr>
        <w:numPr>
          <w:ilvl w:val="0"/>
          <w:numId w:val="5"/>
        </w:numPr>
        <w:ind w:hanging="126"/>
      </w:pPr>
      <w:r>
        <w:t>Technology profit margin is growing — a strong positive trend.</w:t>
      </w:r>
    </w:p>
    <w:p w14:paraId="46B997A6" w14:textId="77777777" w:rsidR="00EE3295" w:rsidRDefault="00000000">
      <w:pPr>
        <w:numPr>
          <w:ilvl w:val="0"/>
          <w:numId w:val="5"/>
        </w:numPr>
        <w:ind w:hanging="126"/>
      </w:pPr>
      <w:r>
        <w:t>Office Supplies is stable but operates on a thin margin.</w:t>
      </w:r>
    </w:p>
    <w:p w14:paraId="58FB8435" w14:textId="77777777" w:rsidR="00EE3295" w:rsidRDefault="00000000">
      <w:pPr>
        <w:numPr>
          <w:ilvl w:val="0"/>
          <w:numId w:val="5"/>
        </w:numPr>
        <w:spacing w:after="25"/>
        <w:ind w:hanging="126"/>
      </w:pPr>
      <w:r>
        <w:t>Profit Margin Rate chart confirms Furniture is the #1 profit killer.</w:t>
      </w:r>
    </w:p>
    <w:p w14:paraId="440BDB57" w14:textId="77777777" w:rsidR="00EE3295" w:rsidRDefault="00000000">
      <w:pPr>
        <w:spacing w:after="359" w:line="259" w:lineRule="auto"/>
        <w:ind w:left="0" w:right="-1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58966A" wp14:editId="018F187C">
                <wp:extent cx="6248400" cy="12700"/>
                <wp:effectExtent l="0" t="0" r="0" b="0"/>
                <wp:docPr id="2321" name="Group 2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FA8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1" style="width:492pt;height:1pt;mso-position-horizontal-relative:char;mso-position-vertical-relative:line" coordsize="62484,127">
                <v:shape id="Shape 112" style="position:absolute;width:62484;height:0;left:0;top:0;" coordsize="6248400,0" path="m0,0l6248400,0">
                  <v:stroke weight="1pt" endcap="round" joinstyle="miter" miterlimit="10" on="true" color="#9fa8da"/>
                  <v:fill on="false" color="#000000" opacity="0"/>
                </v:shape>
              </v:group>
            </w:pict>
          </mc:Fallback>
        </mc:AlternateContent>
      </w:r>
    </w:p>
    <w:p w14:paraId="15EA7CA3" w14:textId="77777777" w:rsidR="00EE3295" w:rsidRDefault="00000000">
      <w:pPr>
        <w:pStyle w:val="Heading1"/>
        <w:spacing w:after="257"/>
        <w:ind w:left="-5"/>
      </w:pPr>
      <w:r>
        <w:t>Why Are Sales/Profits Dropping? — Root Causes</w:t>
      </w:r>
    </w:p>
    <w:p w14:paraId="5FBC3F7F" w14:textId="77777777" w:rsidR="00EE3295" w:rsidRDefault="00000000">
      <w:pPr>
        <w:pStyle w:val="Heading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Reason 1 — Furniture Category is Losing Money</w:t>
      </w:r>
    </w:p>
    <w:p w14:paraId="53DCD383" w14:textId="77777777" w:rsidR="00EE3295" w:rsidRDefault="00000000">
      <w:pPr>
        <w:spacing w:after="47"/>
        <w:ind w:left="10"/>
      </w:pPr>
      <w:r>
        <w:t>Furniture generates $729K in revenue but carries a negative profit margin every single year from 2015–2018.</w:t>
      </w:r>
    </w:p>
    <w:p w14:paraId="59AB2367" w14:textId="77777777" w:rsidR="00EE3295" w:rsidRDefault="00000000">
      <w:pPr>
        <w:spacing w:after="471"/>
        <w:ind w:left="10"/>
      </w:pPr>
      <w:r>
        <w:t>Likely caused by excessive discounts to compete + high shipping costs for heavy/bulky items.</w:t>
      </w:r>
    </w:p>
    <w:p w14:paraId="157A05F4" w14:textId="77777777" w:rsidR="00EE3295" w:rsidRDefault="00000000">
      <w:pPr>
        <w:pStyle w:val="Heading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Reason 2 — 37% of Orders Are Unprofitable</w:t>
      </w:r>
    </w:p>
    <w:p w14:paraId="05432BD3" w14:textId="77777777" w:rsidR="00EE3295" w:rsidRDefault="00000000">
      <w:pPr>
        <w:spacing w:after="464"/>
        <w:ind w:left="10"/>
      </w:pPr>
      <w:r>
        <w:t>Out of 4,809 orders, 1,706 are losing money. The business is busy and generating revenue, but is bleeding profit internally on over one-third of all transactions.</w:t>
      </w:r>
    </w:p>
    <w:p w14:paraId="7CF4EA62" w14:textId="77777777" w:rsidR="00EE3295" w:rsidRDefault="00000000">
      <w:pPr>
        <w:pStyle w:val="Heading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Reason 3 — South Region is Severely Weak</w:t>
      </w:r>
    </w:p>
    <w:p w14:paraId="5AD09C4C" w14:textId="77777777" w:rsidR="00EE3295" w:rsidRDefault="00000000">
      <w:pPr>
        <w:spacing w:after="465"/>
        <w:ind w:left="10"/>
      </w:pPr>
      <w:r>
        <w:t>The South Region contributes only $396,641 vs the West's $744,294 — almost half the revenue of the top region. This region needs immediate attention and targeted strategy.</w:t>
      </w:r>
    </w:p>
    <w:p w14:paraId="100902A1" w14:textId="77777777" w:rsidR="00EE3295" w:rsidRDefault="00000000">
      <w:pPr>
        <w:pStyle w:val="Heading2"/>
        <w:ind w:left="-5"/>
      </w:pPr>
      <w:r>
        <w:rPr>
          <w:rFonts w:ascii="Segoe UI Symbol" w:eastAsia="Segoe UI Symbol" w:hAnsi="Segoe UI Symbol" w:cs="Segoe UI Symbol"/>
          <w:b w:val="0"/>
        </w:rPr>
        <w:lastRenderedPageBreak/>
        <w:t>■</w:t>
      </w:r>
      <w:r>
        <w:t xml:space="preserve"> Reason 4 — High Volume, Low Margin Products Dominate</w:t>
      </w:r>
    </w:p>
    <w:p w14:paraId="44B686FF" w14:textId="77777777" w:rsidR="00EE3295" w:rsidRDefault="00000000">
      <w:pPr>
        <w:spacing w:after="464"/>
        <w:ind w:left="10"/>
      </w:pPr>
      <w:r>
        <w:t>Binders and Paper are the most ordered items but carry very low average order values (~$100–$150). The business is processing many orders for very little profit per transaction.</w:t>
      </w:r>
    </w:p>
    <w:p w14:paraId="2965BA6E" w14:textId="77777777" w:rsidR="00EE3295" w:rsidRDefault="00000000">
      <w:pPr>
        <w:pStyle w:val="Heading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Reason 5 — Profit Goal Missed by 88.67%</w:t>
      </w:r>
    </w:p>
    <w:p w14:paraId="3EADE6FA" w14:textId="77777777" w:rsidR="00EE3295" w:rsidRDefault="00000000">
      <w:pPr>
        <w:spacing w:after="464"/>
        <w:ind w:left="10"/>
      </w:pPr>
      <w:r>
        <w:t>The monthly profit goal is $12,507 but the store is only achieving $1,418. This is not a minor shortfall — it is a near-total failure to reach profit targets.</w:t>
      </w:r>
    </w:p>
    <w:p w14:paraId="3082D691" w14:textId="77777777" w:rsidR="00EE3295" w:rsidRDefault="00000000">
      <w:pPr>
        <w:pStyle w:val="Heading2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Reason 6 — Over-Reliance on Standard Class Shipping</w:t>
      </w:r>
    </w:p>
    <w:p w14:paraId="266E5909" w14:textId="77777777" w:rsidR="00EE3295" w:rsidRDefault="00000000">
      <w:pPr>
        <w:spacing w:after="40"/>
        <w:ind w:left="10"/>
      </w:pPr>
      <w:r>
        <w:t>59% of customers select Standard Class (cheapest option), suggesting high price sensitivity. This indicates customers may be attracted primarily by discounts, which directly damages profit margins.</w:t>
      </w:r>
    </w:p>
    <w:p w14:paraId="725A785F" w14:textId="77777777" w:rsidR="00EE3295" w:rsidRDefault="00000000">
      <w:pPr>
        <w:spacing w:after="359" w:line="259" w:lineRule="auto"/>
        <w:ind w:left="0" w:right="-1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AAF475" wp14:editId="5E711B2C">
                <wp:extent cx="6248400" cy="12700"/>
                <wp:effectExtent l="0" t="0" r="0" b="0"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9FA8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" style="width:492pt;height:1pt;mso-position-horizontal-relative:char;mso-position-vertical-relative:line" coordsize="62484,127">
                <v:shape id="Shape 140" style="position:absolute;width:62484;height:0;left:0;top:0;" coordsize="6248400,0" path="m0,0l6248400,0">
                  <v:stroke weight="1pt" endcap="round" joinstyle="miter" miterlimit="10" on="true" color="#9fa8da"/>
                  <v:fill on="false" color="#000000" opacity="0"/>
                </v:shape>
              </v:group>
            </w:pict>
          </mc:Fallback>
        </mc:AlternateContent>
      </w:r>
    </w:p>
    <w:p w14:paraId="13C8C701" w14:textId="77777777" w:rsidR="00EE3295" w:rsidRDefault="00000000">
      <w:pPr>
        <w:pStyle w:val="Heading1"/>
        <w:ind w:left="-5"/>
      </w:pPr>
      <w:r>
        <w:t>Recommendations &amp; Action Plan</w:t>
      </w:r>
    </w:p>
    <w:tbl>
      <w:tblPr>
        <w:tblStyle w:val="TableGrid"/>
        <w:tblW w:w="10080" w:type="dxa"/>
        <w:tblInd w:w="-120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EE3295" w14:paraId="2A900612" w14:textId="77777777">
        <w:trPr>
          <w:trHeight w:val="360"/>
        </w:trPr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0D47A1"/>
          </w:tcPr>
          <w:p w14:paraId="188739D2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64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0D47A1"/>
          </w:tcPr>
          <w:p w14:paraId="16C1F992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 w:rsidR="00EE3295" w14:paraId="228221EE" w14:textId="77777777">
        <w:trPr>
          <w:trHeight w:val="360"/>
        </w:trPr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</w:tcPr>
          <w:p w14:paraId="7245A492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62828"/>
                <w:sz w:val="18"/>
              </w:rPr>
              <w:t>Furniture losing money</w:t>
            </w:r>
          </w:p>
        </w:tc>
        <w:tc>
          <w:tcPr>
            <w:tcW w:w="64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</w:tcPr>
          <w:p w14:paraId="74C7728B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Reduce discounts on Furniture. Review and reprice the entire category.</w:t>
            </w:r>
          </w:p>
        </w:tc>
      </w:tr>
      <w:tr w:rsidR="00EE3295" w14:paraId="510B6946" w14:textId="77777777">
        <w:trPr>
          <w:trHeight w:val="360"/>
        </w:trPr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</w:tcPr>
          <w:p w14:paraId="755C5C6F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62828"/>
                <w:sz w:val="18"/>
              </w:rPr>
              <w:t>37% unprofitable orders</w:t>
            </w:r>
          </w:p>
        </w:tc>
        <w:tc>
          <w:tcPr>
            <w:tcW w:w="64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</w:tcPr>
          <w:p w14:paraId="7352F845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Set a minimum profit margin threshold per order before approval.</w:t>
            </w:r>
          </w:p>
        </w:tc>
      </w:tr>
      <w:tr w:rsidR="00EE3295" w14:paraId="32A0A99E" w14:textId="77777777">
        <w:trPr>
          <w:trHeight w:val="360"/>
        </w:trPr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</w:tcPr>
          <w:p w14:paraId="3DD28629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62828"/>
                <w:sz w:val="18"/>
              </w:rPr>
              <w:t>South Region weak</w:t>
            </w:r>
          </w:p>
        </w:tc>
        <w:tc>
          <w:tcPr>
            <w:tcW w:w="64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</w:tcPr>
          <w:p w14:paraId="5071A3AB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Launch targeted marketing and sales campaigns focused on South states.</w:t>
            </w:r>
          </w:p>
        </w:tc>
      </w:tr>
      <w:tr w:rsidR="00EE3295" w14:paraId="7D1C2C88" w14:textId="77777777">
        <w:trPr>
          <w:trHeight w:val="360"/>
        </w:trPr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</w:tcPr>
          <w:p w14:paraId="5897EBB6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62828"/>
                <w:sz w:val="18"/>
              </w:rPr>
              <w:t>Low AOV products dominate</w:t>
            </w:r>
          </w:p>
        </w:tc>
        <w:tc>
          <w:tcPr>
            <w:tcW w:w="64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</w:tcPr>
          <w:p w14:paraId="573A92BC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Introduce product bundles and upselling strategies to raise order value.</w:t>
            </w:r>
          </w:p>
        </w:tc>
      </w:tr>
      <w:tr w:rsidR="00EE3295" w14:paraId="072B8102" w14:textId="77777777">
        <w:trPr>
          <w:trHeight w:val="360"/>
        </w:trPr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</w:tcPr>
          <w:p w14:paraId="3CE54F5F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62828"/>
                <w:sz w:val="18"/>
              </w:rPr>
              <w:t>Profit goal missed badly</w:t>
            </w:r>
          </w:p>
        </w:tc>
        <w:tc>
          <w:tcPr>
            <w:tcW w:w="64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</w:tcPr>
          <w:p w14:paraId="4422D3FE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Conduct a full cost structure and pricing review across all categories.</w:t>
            </w:r>
          </w:p>
        </w:tc>
      </w:tr>
      <w:tr w:rsidR="00EE3295" w14:paraId="35355D93" w14:textId="77777777">
        <w:trPr>
          <w:trHeight w:val="360"/>
        </w:trPr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</w:tcPr>
          <w:p w14:paraId="2B00D303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62828"/>
                <w:sz w:val="18"/>
              </w:rPr>
              <w:t>Standard Class dominance</w:t>
            </w:r>
          </w:p>
        </w:tc>
        <w:tc>
          <w:tcPr>
            <w:tcW w:w="64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</w:tcPr>
          <w:p w14:paraId="59ABF726" w14:textId="77777777" w:rsidR="00EE3295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8"/>
              </w:rPr>
              <w:t>Offer incentives for premium shipping on large or high-value orders.</w:t>
            </w:r>
          </w:p>
        </w:tc>
      </w:tr>
    </w:tbl>
    <w:p w14:paraId="301667F8" w14:textId="28660ED3" w:rsidR="00EE3295" w:rsidRDefault="00000000" w:rsidP="00D90175">
      <w:pPr>
        <w:spacing w:after="225" w:line="259" w:lineRule="auto"/>
        <w:ind w:left="0" w:right="-1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2C5727" wp14:editId="241849C9">
                <wp:extent cx="6248400" cy="25400"/>
                <wp:effectExtent l="0" t="0" r="0" b="0"/>
                <wp:docPr id="2877" name="Group 2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25400"/>
                          <a:chOff x="0" y="0"/>
                          <a:chExt cx="6248400" cy="25400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7" style="width:492pt;height:2pt;mso-position-horizontal-relative:char;mso-position-vertical-relative:line" coordsize="62484,254">
                <v:shape id="Shape 174" style="position:absolute;width:62484;height:0;left:0;top:0;" coordsize="6248400,0" path="m0,0l6248400,0">
                  <v:stroke weight="2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sectPr w:rsidR="00EE3295">
      <w:pgSz w:w="12240" w:h="15840"/>
      <w:pgMar w:top="1256" w:right="1391" w:bottom="1414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1FFE"/>
    <w:multiLevelType w:val="hybridMultilevel"/>
    <w:tmpl w:val="07104E14"/>
    <w:lvl w:ilvl="0" w:tplc="E5C0863A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42DDF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7E213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8C23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E2BC3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2E9A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D62C5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F8F1B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BE557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D65E12"/>
    <w:multiLevelType w:val="hybridMultilevel"/>
    <w:tmpl w:val="24F405CE"/>
    <w:lvl w:ilvl="0" w:tplc="0864692E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04D93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EEA1F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D8DC5E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C60FE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30C448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7EA8B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8E48A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46306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B31BFA"/>
    <w:multiLevelType w:val="hybridMultilevel"/>
    <w:tmpl w:val="046E2D50"/>
    <w:lvl w:ilvl="0" w:tplc="C41026BC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68060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20864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50C3A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243A0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DCE41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8CAE0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5E066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5E555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4F31FC"/>
    <w:multiLevelType w:val="hybridMultilevel"/>
    <w:tmpl w:val="97C8588C"/>
    <w:lvl w:ilvl="0" w:tplc="4894C48A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8E559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5E1C0A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4CFA0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1E21C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E4BF5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EEFA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2612D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6449E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3F3A3D"/>
    <w:multiLevelType w:val="hybridMultilevel"/>
    <w:tmpl w:val="CB981E68"/>
    <w:lvl w:ilvl="0" w:tplc="C7D25924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B2BB0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D09F8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4078D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32C3A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E6DC3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E8055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E4BFB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F6E31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4207540">
    <w:abstractNumId w:val="3"/>
  </w:num>
  <w:num w:numId="2" w16cid:durableId="1903448451">
    <w:abstractNumId w:val="2"/>
  </w:num>
  <w:num w:numId="3" w16cid:durableId="989947081">
    <w:abstractNumId w:val="1"/>
  </w:num>
  <w:num w:numId="4" w16cid:durableId="959654691">
    <w:abstractNumId w:val="4"/>
  </w:num>
  <w:num w:numId="5" w16cid:durableId="140784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95"/>
    <w:rsid w:val="00235E66"/>
    <w:rsid w:val="00D90175"/>
    <w:rsid w:val="00EE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CE78"/>
  <w15:docId w15:val="{C2A8453A-3E2E-4643-8184-AF209E61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65" w:lineRule="auto"/>
      <w:ind w:left="330" w:hanging="10"/>
    </w:pPr>
    <w:rPr>
      <w:rFonts w:ascii="Arial" w:eastAsia="Arial" w:hAnsi="Arial" w:cs="Arial"/>
      <w:color w:val="21212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237E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 w:line="259" w:lineRule="auto"/>
      <w:ind w:left="10" w:hanging="10"/>
      <w:outlineLvl w:val="1"/>
    </w:pPr>
    <w:rPr>
      <w:rFonts w:ascii="Arial" w:eastAsia="Arial" w:hAnsi="Arial" w:cs="Arial"/>
      <w:b/>
      <w:color w:val="B71C1C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B71C1C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Soumya Ranjan Sahoo</cp:lastModifiedBy>
  <cp:revision>2</cp:revision>
  <dcterms:created xsi:type="dcterms:W3CDTF">2026-04-29T10:33:00Z</dcterms:created>
  <dcterms:modified xsi:type="dcterms:W3CDTF">2026-04-29T10:33:00Z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5576ff40-9de1-479f-828d-07428ec96252</vt:lpwstr>
  </property>
</Properties>
</file>