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LangGraph Research Report</w:t>
      </w:r>
    </w:p>
    <w:p>
      <w:r>
        <w:t>Generated On: 2026-06-23 16:39:08</w:t>
      </w:r>
    </w:p>
    <w:p>
      <w:pPr>
        <w:pStyle w:val="Heading1"/>
      </w:pPr>
      <w:r>
        <w:t>User Query</w:t>
      </w:r>
    </w:p>
    <w:p>
      <w:r>
        <w:t>With a case study explain concept of equilibrium</w:t>
      </w:r>
    </w:p>
    <w:p>
      <w:pPr>
        <w:pStyle w:val="Heading1"/>
      </w:pPr>
      <w:r>
        <w:t>Executive Summary</w:t>
      </w:r>
    </w:p>
    <w:p>
      <w:r>
        <w:t>Equilibrium describes a state of balance where there is no net change in a system. It is categorized into static equilibrium, common in physics and engineering, where objects remain at rest or move at a constant velocity, and dynamic equilibrium, common in chemistry, where opposing processes occur at identical rates, resulting in stable macroscopic concentrations.</w:t>
      </w:r>
    </w:p>
    <w:p>
      <w:pPr>
        <w:pStyle w:val="Heading1"/>
      </w:pPr>
      <w:r>
        <w:t>Key Findings</w:t>
      </w:r>
    </w:p>
    <w:p>
      <w:pPr>
        <w:pStyle w:val="ListBullet"/>
      </w:pPr>
      <w:r>
        <w:t>Static equilibrium for rigid bodies requires that the sum of all external forces and the sum of all moments acting on the body must both equal zero.</w:t>
      </w:r>
    </w:p>
    <w:p>
      <w:pPr>
        <w:pStyle w:val="ListBullet"/>
      </w:pPr>
      <w:r>
        <w:t>An object in static equilibrium is not accelerating, meaning it may be stationary or traveling at a constant velocity.</w:t>
      </w:r>
    </w:p>
    <w:p>
      <w:pPr>
        <w:pStyle w:val="ListBullet"/>
      </w:pPr>
      <w:r>
        <w:t>Dynamic equilibrium occurs in reversible processes when the forward and reverse reaction rates are equal, leading to no observable change in system concentrations.</w:t>
      </w:r>
    </w:p>
    <w:p>
      <w:pPr>
        <w:pStyle w:val="ListBullet"/>
      </w:pPr>
      <w:r>
        <w:t>Equilibrium is a constant, ongoing process at the molecular level, exemplified by liquid-vapor phase changes or the industrial Haber process.</w:t>
      </w:r>
    </w:p>
    <w:p>
      <w:pPr>
        <w:pStyle w:val="ListBullet"/>
      </w:pPr>
      <w:r>
        <w:t>Le Châtelier's principle is used to predict how systems in dynamic equilibrium respond to external changes.</w:t>
      </w:r>
    </w:p>
    <w:p>
      <w:pPr>
        <w:pStyle w:val="ListBullet"/>
      </w:pPr>
      <w:r>
        <w:t>Static equilibrium calculations for rigid bodies provide more complex equations than particle equilibrium because they must account for both forces and rotational moments.</w:t>
      </w:r>
    </w:p>
    <w:p>
      <w:pPr>
        <w:pStyle w:val="Heading1"/>
      </w:pPr>
      <w:r>
        <w:t>Detailed Analysis</w:t>
      </w:r>
    </w:p>
    <w:p>
      <w:r>
        <w:t>Equilibrium is defined by the absence of net change, but the mechanisms that maintain this state differ significantly between physical mechanics and chemical systems. In static equilibrium, as applied to rigid bodies, the body is nondeformable and experiences no linear or angular acceleration. To solve for equilibrium in these systems, one must ensure that the sum of forces in all directions is zero and that the sum of moments—or rotational forces—is also zero. Because rigid bodies are not particles, these moment equations allow engineers to solve for more unknown variables than would be possible in simple particle mechanics. If a system deviates from these conditions, it enters dynamics, where the sum of forces equals mass multiplied by acceleration. In contrast, dynamic equilibrium is a feature of reversible chemical processes. For example, in a closed container, water molecules constantly transition between liquid and gaseous states (vaporization and condensation). When the rate of these two processes becomes equal, the number of molecules in each phase remains constant, creating a steady state. While the macroscopic system appears unchanging, the microscopic activity remains continuous. Similarly, chemical reactions like the Haber process utilize this principle, where reactants and products exist in a balanced state. The provided evidence is limited by the absence of a specific step-by-step engineering calculation for a rigid body, and the relationship between static and dynamic systems is primarily conceptual rather than unified by a single mathematical framework.</w:t>
      </w:r>
    </w:p>
    <w:p>
      <w:pPr>
        <w:pStyle w:val="Heading1"/>
      </w:pPr>
      <w:r>
        <w:t>Sources</w:t>
      </w:r>
    </w:p>
    <w:p>
      <w:pPr>
        <w:pStyle w:val="ListBullet"/>
      </w:pPr>
      <w:r>
        <w:t>Textbook: CHAPTER 4: RIGID BODIES, Section 4.3, page 315</w:t>
      </w:r>
    </w:p>
    <w:p>
      <w:pPr>
        <w:pStyle w:val="ListBullet"/>
      </w:pPr>
      <w:r>
        <w:t>Textbook: CHAPTER 2: PARTICLES, Section 2.3, page 153</w:t>
      </w:r>
    </w:p>
    <w:p>
      <w:pPr>
        <w:pStyle w:val="ListBullet"/>
      </w:pPr>
      <w:r>
        <w:t>Web: Dynamic Equilibrium in Chemistry: Key Concepts and Examples</w:t>
      </w:r>
    </w:p>
    <w:p>
      <w:pPr>
        <w:pStyle w:val="ListBullet"/>
      </w:pPr>
      <w:r>
        <w:t>Web: 6.2 Equilibrium in Chemical Processes – Dynamic Equilibrium</w:t>
      </w:r>
    </w:p>
    <w:p>
      <w:pPr>
        <w:pStyle w:val="ListBullet"/>
      </w:pPr>
      <w:r>
        <w:t>Web: Dynamic equilibrium (video) | Equilibrium | Khan Academy</w:t>
      </w:r>
    </w:p>
    <w:p>
      <w:pPr>
        <w:pStyle w:val="Heading1"/>
      </w:pPr>
      <w:r>
        <w:t>Confidence Assessment</w:t>
      </w:r>
    </w:p>
    <w:p>
      <w:r>
        <w:t>Limited Confidence: The response is grounded in the evidence, but the synthesis lacks a specific, worked-out engineering problem for a rigid body as requested by the critic, due to the limitations of the provided source material.</w:t>
      </w:r>
    </w:p>
    <w:p>
      <w:r>
        <w:br w:type="page"/>
      </w:r>
    </w:p>
    <w:p>
      <w:pPr>
        <w:pStyle w:val="Heading1"/>
      </w:pPr>
      <w:r>
        <w:t>Appendix A - Research Plan</w:t>
      </w:r>
    </w:p>
    <w:p>
      <w:r>
        <w:t>Route Selected: rag</w:t>
      </w:r>
    </w:p>
    <w:p>
      <w:pPr>
        <w:pStyle w:val="ListBullet"/>
      </w:pPr>
      <w:r>
        <w:t>Retrieve definitions and fundamental equations for static equilibrium from engineering mechanics corpus.</w:t>
      </w:r>
    </w:p>
    <w:p>
      <w:pPr>
        <w:pStyle w:val="ListBullet"/>
      </w:pPr>
      <w:r>
        <w:t>Retrieve fundamental principles of dynamic equilibrium and reaction rates from chemical engineering corpus.</w:t>
      </w:r>
    </w:p>
    <w:p>
      <w:pPr>
        <w:pStyle w:val="ListBullet"/>
      </w:pPr>
      <w:r>
        <w:t>Synthesize the Haber process as a case study to illustrate the transition from static structural constraints to dynamic chemical steady-states.</w:t>
      </w:r>
    </w:p>
    <w:p>
      <w:pPr>
        <w:pStyle w:val="ListBullet"/>
      </w:pPr>
      <w:r>
        <w:t>Structure the final explanation by contrasting the force/torque balance of structural mechanics with the rate-based equilibrium of chemical systems.</w:t>
      </w:r>
    </w:p>
    <w:p>
      <w:pPr>
        <w:pStyle w:val="Heading1"/>
      </w:pPr>
      <w:r>
        <w:t>Appendix B - Information Gaps</w:t>
      </w:r>
    </w:p>
    <w:p>
      <w:pPr>
        <w:pStyle w:val="ListBullet"/>
      </w:pPr>
      <w:r>
        <w:t>Step-by-step conceptual walkthrough of the Haber process as a dynamic equilibrium case study.</w:t>
      </w:r>
    </w:p>
    <w:p>
      <w:pPr>
        <w:pStyle w:val="ListBullet"/>
      </w:pPr>
      <w:r>
        <w:t>Clear differentiation between mechanical steady-state (zero acceleration) and chemical dynamic equilibrium (equal forward/reverse rates).</w:t>
      </w:r>
    </w:p>
    <w:p>
      <w:pPr>
        <w:pStyle w:val="Heading1"/>
      </w:pPr>
      <w:r>
        <w:t>Appendix C - Critic Evaluation</w:t>
      </w:r>
    </w:p>
    <w:p>
      <w:r>
        <w:t>Critic Score: 5.0</w:t>
      </w:r>
    </w:p>
    <w:p>
      <w:r>
        <w:t>The evidence provides clear definitions for both static equilibrium (in physics/engineering terms) and dynamic equilibrium (in chemical contexts). While it offers examples of both (the Haber process for chemistry and the liquid-vapor phase change for physical chemistry), it lacks a concrete, step-by-step case study analysis for a rigid body in static equilibrium. The information is scattered across different domains, making it slightly fragmented for a cohesive explanation. To improve, the evidence should bridge the theoretical definitions with a specific, worked-out engineering problem.</w:t>
      </w:r>
    </w:p>
    <w:p>
      <w:pPr>
        <w:pStyle w:val="Heading1"/>
      </w:pPr>
      <w:r>
        <w:t>Appendix D - Memory Insights</w:t>
      </w:r>
    </w:p>
    <w:p>
      <w:r>
        <w:t>The previous research session attempted to define static and dynamic equilibrium but failed to adequately explain dynamic equilibrium and lacked illustrative real-world examples. The research successfully established the conditions for static equilibrium (net force/torque zero) but struggled with the conceptual distinction between constant velocity and dynamic equilibrium processes.</w:t>
      </w:r>
    </w:p>
    <w:p>
      <w:pPr>
        <w:pStyle w:val="ListBullet"/>
      </w:pPr>
      <w:r>
        <w:t>Select a high-quality case study, such as the Haber process or a structural bridge project, to ground the explanation of equilibrium.</w:t>
      </w:r>
    </w:p>
    <w:p>
      <w:pPr>
        <w:pStyle w:val="ListBullet"/>
      </w:pPr>
      <w:r>
        <w:t>Clearly distinguish between steady-state motion and true dynamic equilibrium to avoid common misconceptions.</w:t>
      </w:r>
    </w:p>
    <w:p>
      <w:pPr>
        <w:pStyle w:val="ListBullet"/>
      </w:pPr>
      <w:r>
        <w:t>Explicitly address both the force/torque balance (static) and the rate balance (dynamic) to ensure a complete conceptual framework.</w:t>
      </w:r>
    </w:p>
    <w:p>
      <w:pPr>
        <w:pStyle w:val="ListBullet"/>
      </w:pPr>
      <w:r>
        <w:t>Avoid strictly mechanical definitions; incorporate examples from thermodynamics or fluid dynamics to broaden the scope of dynamic equilibrium.</w:t>
      </w:r>
    </w:p>
    <w:p>
      <w:pPr>
        <w:pStyle w:val="Heading1"/>
      </w:pPr>
      <w:r>
        <w:t>Appendix E - Research Metadata</w:t>
      </w:r>
    </w:p>
    <w:p>
      <w:r>
        <w:t>Iterations: 2</w:t>
      </w:r>
    </w:p>
    <w:p>
      <w:r>
        <w:t>Memory Hit: True</w:t>
      </w:r>
    </w:p>
    <w:p>
      <w:r>
        <w:t>Memory Distance: 0.965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