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E3CD" w14:textId="77777777" w:rsidR="00CF3667" w:rsidRPr="00CF3667" w:rsidRDefault="00CF3667" w:rsidP="00CF366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Sales and Performance Analysis Report</w:t>
      </w:r>
    </w:p>
    <w:p w14:paraId="199B0019" w14:textId="77777777" w:rsidR="00CF3667" w:rsidRPr="00CF3667" w:rsidRDefault="00CF3667" w:rsidP="00CF366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Overview</w:t>
      </w:r>
    </w:p>
    <w:p w14:paraId="6320F3B4" w14:textId="77777777" w:rsidR="00CF3667" w:rsidRDefault="00CF3667" w:rsidP="00CF3667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report summarizes the key observations and trends in sales, profit, and product performance based on the provided data. It includes insights into customer behavior, sales trends, 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store performance 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 product preferences across different regions and time periods.</w:t>
      </w:r>
    </w:p>
    <w:p w14:paraId="28A4D837" w14:textId="7B0DFFF2" w:rsidR="00CF3667" w:rsidRPr="00CF3667" w:rsidRDefault="00CF3667" w:rsidP="00CF36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Key Observations</w:t>
      </w:r>
    </w:p>
    <w:p w14:paraId="5707724C" w14:textId="77777777" w:rsidR="00CF3667" w:rsidRPr="00CF3667" w:rsidRDefault="00CF3667" w:rsidP="00CF36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Regional Performance</w:t>
      </w:r>
    </w:p>
    <w:p w14:paraId="53B8AFEA" w14:textId="77777777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United States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Leads in the number of products ordered, significantly surpassing other countries. The stores in Wyoming, Alaska, and Hawaii are top performers in </w:t>
      </w:r>
      <w:proofErr w:type="spellStart"/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Sales_per_sqm</w:t>
      </w:r>
      <w:proofErr w:type="spellEnd"/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F4189D5" w14:textId="77777777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United Kingdom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Ranks second in product orders, though it is over 10,000 units behind the United States. Key stores in Brighton and Hove, Camden, and Broxtowe have the highest profit ratios.</w:t>
      </w:r>
    </w:p>
    <w:p w14:paraId="4051AAD0" w14:textId="77777777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France and Netherlands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Have the least number of orders. Notably, the Northern Territory store in Australia had the lowest sales, with all transactions occurring in 2016.</w:t>
      </w:r>
    </w:p>
    <w:p w14:paraId="1812BFE9" w14:textId="77777777" w:rsidR="00CF3667" w:rsidRPr="00CF3667" w:rsidRDefault="00CF3667" w:rsidP="00CF36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Sales Trends</w:t>
      </w:r>
    </w:p>
    <w:p w14:paraId="22591906" w14:textId="101DF5CF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Pandemic Impact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Sales declined post-pandemic, with the first quarter of 2021 performing below expectations. Historical sales patterns show peak performance in Q4, followed by Q1, Q3, and Q2.</w:t>
      </w:r>
    </w:p>
    <w:p w14:paraId="4F21CAAE" w14:textId="77777777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Sales and Profit Correlation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Sales have often peaked with lower profit margins and vice versa.</w:t>
      </w:r>
    </w:p>
    <w:p w14:paraId="5E694455" w14:textId="77777777" w:rsidR="00CF3667" w:rsidRPr="00CF3667" w:rsidRDefault="00CF3667" w:rsidP="00CF36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Product Categories</w:t>
      </w:r>
    </w:p>
    <w:p w14:paraId="076F69E4" w14:textId="4E2F9ED9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 Categories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"Computers" are the most popular category, followed by "Home Appliances" and "Cameras and Camcorders"</w:t>
      </w:r>
      <w:r w:rsidR="0027521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="0027521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whereas 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"</w:t>
      </w:r>
      <w:proofErr w:type="gramEnd"/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Games and Toys" is the least popular.</w:t>
      </w:r>
    </w:p>
    <w:p w14:paraId="583E10B7" w14:textId="77777777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Subcategories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Desktops, Televisions, and Projectors &amp; Screens are the top-performing subcategories.</w:t>
      </w:r>
    </w:p>
    <w:p w14:paraId="601421DB" w14:textId="77777777" w:rsidR="00CF3667" w:rsidRPr="00CF3667" w:rsidRDefault="00CF3667" w:rsidP="00CF36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Product Preferences</w:t>
      </w:r>
    </w:p>
    <w:p w14:paraId="7F63C58B" w14:textId="77777777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 Products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319E506C" w14:textId="77777777" w:rsidR="00CF3667" w:rsidRDefault="00CF3667" w:rsidP="00CF3667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WWI Desktop PC2.33 X2330 Black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the highest revenue-generating product.</w:t>
      </w:r>
    </w:p>
    <w:p w14:paraId="41D84F6C" w14:textId="2DD6991E" w:rsidR="00275219" w:rsidRPr="00CF3667" w:rsidRDefault="00275219" w:rsidP="00CF3667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7521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2nd most </w:t>
      </w:r>
      <w:proofErr w:type="gramStart"/>
      <w:r w:rsidRPr="0027521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ordered  product</w:t>
      </w:r>
      <w:proofErr w:type="gramEnd"/>
      <w:r w:rsidRPr="0027521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was </w:t>
      </w:r>
      <w:r w:rsidRPr="0027521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WWI Desktop PC1.80 E1800 White</w:t>
      </w:r>
      <w:r w:rsidRPr="0027521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 which secured the 8th place in the revenue generated among popular products ).</w:t>
      </w:r>
    </w:p>
    <w:p w14:paraId="217FFA81" w14:textId="77777777" w:rsidR="00CF3667" w:rsidRPr="00CF3667" w:rsidRDefault="00CF3667" w:rsidP="00CF3667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Adventure Works Desktop PC2.30 MD230 White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the third most ordered but ranks fifth in revenue.</w:t>
      </w:r>
    </w:p>
    <w:p w14:paraId="45B9F457" w14:textId="77777777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Top Products by Country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09DF8068" w14:textId="77777777" w:rsidR="00CF3667" w:rsidRPr="00CF3667" w:rsidRDefault="00CF3667" w:rsidP="00CF3667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United States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WWI Desktop PC2.33 X2330 Black, Adventure Works Desktop PC2.30 MD230 White, WWI Desktop PC1.60 E1600 Red</w:t>
      </w:r>
    </w:p>
    <w:p w14:paraId="5E4DBE3E" w14:textId="77777777" w:rsidR="00CF3667" w:rsidRPr="00CF3667" w:rsidRDefault="00CF3667" w:rsidP="00CF3667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United Kingdom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Adventure Works Desktop PC1.60 ED White, WWI Desktop PC3.0 M0300 Black, Contoso DVD External DVD Burner M200 Grey</w:t>
      </w:r>
    </w:p>
    <w:p w14:paraId="67882DA8" w14:textId="77777777" w:rsidR="00CF3667" w:rsidRPr="00CF3667" w:rsidRDefault="00CF3667" w:rsidP="00CF3667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Canada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Adventure Works Desktop PC2.30 MD230 White, SV DVD Player M120 White, Adventure Works Desktop PC3.0 MS300 Black</w:t>
      </w:r>
    </w:p>
    <w:p w14:paraId="6E4C7DC4" w14:textId="77777777" w:rsidR="00CF3667" w:rsidRPr="00CF3667" w:rsidRDefault="00CF3667" w:rsidP="00CF3667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Germany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Adventure Works Desktop PC2.30 MD230 Black, SV DVD 14-Inch Player Portable L100 Silver, WWI Desktop PC1.80 E1800 White</w:t>
      </w:r>
    </w:p>
    <w:p w14:paraId="0781AC16" w14:textId="77777777" w:rsidR="00CF3667" w:rsidRPr="00CF3667" w:rsidRDefault="00CF3667" w:rsidP="00CF3667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Australia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WWI Desktop PC2.33 X2330 Black, Adventure Works Desktop PC2.30 MD230 White, WWI Desktop 1.60 ED1600 Red</w:t>
      </w:r>
    </w:p>
    <w:p w14:paraId="14B3806B" w14:textId="77777777" w:rsidR="00CF3667" w:rsidRPr="00CF3667" w:rsidRDefault="00CF3667" w:rsidP="00CF3667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Italy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Adventure Works Desktop PC1.80 E180 Silver, Adventure Works Desktop PC2.33 XD233 Silver, Adventure Works Desktop PC1.80 E180 White</w:t>
      </w:r>
    </w:p>
    <w:p w14:paraId="455233BB" w14:textId="77777777" w:rsidR="00CF3667" w:rsidRPr="00CF3667" w:rsidRDefault="00CF3667" w:rsidP="00CF3667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France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Contoso DVD 12-Inch Player Portable M400 White, Contoso DVD Recorder L230 Grey, Adventure Works Desktop 1.60 ED160 Brown</w:t>
      </w:r>
    </w:p>
    <w:p w14:paraId="7D9762DF" w14:textId="77777777" w:rsidR="00CF3667" w:rsidRPr="00CF3667" w:rsidRDefault="00CF3667" w:rsidP="00CF3667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Netherlands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WWI Desktop PC1.80 E1800 White, Adventure Works Desktop PC1.80 ED180 White, Contoso DVD 38DVD Storage Binder E25 Red</w:t>
      </w:r>
    </w:p>
    <w:p w14:paraId="33B91254" w14:textId="77777777" w:rsidR="00CF3667" w:rsidRPr="00CF3667" w:rsidRDefault="00CF3667" w:rsidP="00CF36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Customer Demographics</w:t>
      </w:r>
    </w:p>
    <w:p w14:paraId="5E00EA2B" w14:textId="77777777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Age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Middle-aged (30-60) customers are the primary buyers, followed by seniors (≥60).</w:t>
      </w:r>
    </w:p>
    <w:p w14:paraId="642462AA" w14:textId="77777777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Gender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Customer distribution is nearly even between genders.</w:t>
      </w:r>
    </w:p>
    <w:p w14:paraId="62E9F4F0" w14:textId="77777777" w:rsidR="00CF3667" w:rsidRPr="00CF3667" w:rsidRDefault="00CF3667" w:rsidP="00CF36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Profit Analysis</w:t>
      </w:r>
    </w:p>
    <w:p w14:paraId="44668B94" w14:textId="77777777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highest profit ratio was observed in Brighton and Hove (UK), followed by Camden (UK) and Broxtowe (UK).</w:t>
      </w:r>
    </w:p>
    <w:p w14:paraId="2D05984A" w14:textId="77777777" w:rsidR="00CF3667" w:rsidRPr="00CF3667" w:rsidRDefault="00CF3667" w:rsidP="00CF36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Currency Exchange Impact</w:t>
      </w:r>
    </w:p>
    <w:p w14:paraId="4AB01B76" w14:textId="77777777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AUD and CAD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Higher exchange rates (1.4 AUD or CAD per USD) are associated with fewer transactions.</w:t>
      </w:r>
    </w:p>
    <w:p w14:paraId="611A49C5" w14:textId="77777777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GBP and EUR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Lower exchange rates (0.77 GBP per USD) lead to higher transaction volumes, although UK and EUR orders are less frequent.</w:t>
      </w:r>
    </w:p>
    <w:p w14:paraId="488CE47B" w14:textId="77777777" w:rsidR="00CF3667" w:rsidRPr="00CF3667" w:rsidRDefault="00CF3667" w:rsidP="00CF366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Store Performance</w:t>
      </w:r>
    </w:p>
    <w:p w14:paraId="60261B52" w14:textId="77777777" w:rsidR="00CF3667" w:rsidRP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Top Stores by </w:t>
      </w:r>
      <w:proofErr w:type="spellStart"/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Sales_per_sqm</w:t>
      </w:r>
      <w:proofErr w:type="spellEnd"/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Wyoming, Alaska, and Hawaii in the US.</w:t>
      </w:r>
    </w:p>
    <w:p w14:paraId="34C332EA" w14:textId="77777777" w:rsidR="00CF3667" w:rsidRDefault="00CF3667" w:rsidP="00CF366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Underperforming Stores</w:t>
      </w: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Caltanissetta, Fermanagh, and Northern Territory.</w:t>
      </w:r>
    </w:p>
    <w:p w14:paraId="44B56555" w14:textId="77777777" w:rsidR="00CF3667" w:rsidRDefault="00CF3667" w:rsidP="00CF3667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2E176FA" w14:textId="3F850C3B" w:rsidR="00CF3667" w:rsidRPr="00CF3667" w:rsidRDefault="00CF3667" w:rsidP="00CF36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Summary</w:t>
      </w:r>
    </w:p>
    <w:p w14:paraId="6E9E0C31" w14:textId="5542D2D0" w:rsidR="00CF3667" w:rsidRPr="00CF3667" w:rsidRDefault="00CF3667" w:rsidP="00CF36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F366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sales performance shows a clear impact of the pandemic, with a notable drop in the first quarter of 2021 and a consistent pattern of higher sales in Q4 compared to other quarters. The most popular product category is "Computers" and product preferences vary by region. The exchange rates have a significant effect on transaction volumes. Performance varies widely by store, with some stores significantly outperforming others.</w:t>
      </w:r>
    </w:p>
    <w:sectPr w:rsidR="00CF3667" w:rsidRPr="00CF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01C2"/>
    <w:multiLevelType w:val="hybridMultilevel"/>
    <w:tmpl w:val="6770A29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00219"/>
    <w:multiLevelType w:val="multilevel"/>
    <w:tmpl w:val="710C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F5D58"/>
    <w:multiLevelType w:val="hybridMultilevel"/>
    <w:tmpl w:val="6770A2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556443">
    <w:abstractNumId w:val="2"/>
  </w:num>
  <w:num w:numId="2" w16cid:durableId="364018252">
    <w:abstractNumId w:val="0"/>
  </w:num>
  <w:num w:numId="3" w16cid:durableId="126677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67"/>
    <w:rsid w:val="00067ECE"/>
    <w:rsid w:val="00275219"/>
    <w:rsid w:val="00AF3A9D"/>
    <w:rsid w:val="00C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0E89"/>
  <w15:chartTrackingRefBased/>
  <w15:docId w15:val="{CFE2CFED-D6A3-470F-A941-36F73E37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667"/>
  </w:style>
  <w:style w:type="paragraph" w:styleId="Heading3">
    <w:name w:val="heading 3"/>
    <w:basedOn w:val="Normal"/>
    <w:link w:val="Heading3Char"/>
    <w:uiPriority w:val="9"/>
    <w:qFormat/>
    <w:rsid w:val="00CF3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F36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67"/>
    <w:pPr>
      <w:ind w:left="720"/>
      <w:contextualSpacing/>
    </w:pPr>
  </w:style>
  <w:style w:type="table" w:styleId="TableGrid">
    <w:name w:val="Table Grid"/>
    <w:basedOn w:val="TableNormal"/>
    <w:uiPriority w:val="39"/>
    <w:rsid w:val="00CF3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F366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F366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3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3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9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11058-Lakshna Charanraj Charanraj Selvaraj (ADHS)</dc:creator>
  <cp:keywords/>
  <dc:description/>
  <cp:lastModifiedBy>11058-Lakshna Charanraj Charanraj Selvaraj (ADHS)</cp:lastModifiedBy>
  <cp:revision>2</cp:revision>
  <dcterms:created xsi:type="dcterms:W3CDTF">2024-08-10T14:26:00Z</dcterms:created>
  <dcterms:modified xsi:type="dcterms:W3CDTF">2024-08-10T14:46:00Z</dcterms:modified>
</cp:coreProperties>
</file>