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Churn Analysis Final Report</w:t>
      </w:r>
    </w:p>
    <w:p>
      <w:pPr>
        <w:jc w:val="left"/>
      </w:pPr>
      <w:r>
        <w:rPr>
          <w:rFonts w:ascii="Aptos Display" w:hAnsi="Aptos Display"/>
          <w:color w:val="464646"/>
          <w:sz w:val="30"/>
        </w:rPr>
        <w:t>Data preparation customer segmentation predictive modelling and retention strategy</w:t>
      </w:r>
    </w:p>
    <w:tbl>
      <w:tblPr>
        <w:tblW w:type="auto" w:w="0"/>
        <w:jc w:val="left"/>
        <w:tblLayout w:type="fixed"/>
        <w:tblLook w:firstColumn="1" w:firstRow="1" w:lastColumn="0" w:lastRow="0" w:noHBand="0" w:noVBand="1" w:val="04A0"/>
      </w:tblPr>
      <w:tblGrid>
        <w:gridCol w:w="4997"/>
        <w:gridCol w:w="4997"/>
      </w:tblGrid>
      <w:tr>
        <w:tc>
          <w:tcPr>
            <w:tcW w:type="dxa" w:w="2232"/>
            <w:tcMar>
              <w:top w:w="80" w:type="dxa"/>
              <w:start w:w="110" w:type="dxa"/>
              <w:bottom w:w="8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r>
              <w:rPr>
                <w:b/>
              </w:rPr>
              <w:t>Organisation</w:t>
            </w:r>
          </w:p>
        </w:tc>
        <w:tc>
          <w:tcPr>
            <w:tcW w:type="dxa" w:w="7703"/>
            <w:tcMar>
              <w:top w:w="80" w:type="dxa"/>
              <w:start w:w="110" w:type="dxa"/>
              <w:bottom w:w="8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Advanced Telecommunications Solutions</w:t>
            </w:r>
          </w:p>
        </w:tc>
      </w:tr>
      <w:tr>
        <w:tc>
          <w:tcPr>
            <w:tcW w:type="dxa" w:w="2232"/>
            <w:tcMar>
              <w:top w:w="80" w:type="dxa"/>
              <w:start w:w="110" w:type="dxa"/>
              <w:bottom w:w="8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r>
              <w:rPr>
                <w:b/>
              </w:rPr>
              <w:t>Team</w:t>
            </w:r>
          </w:p>
        </w:tc>
        <w:tc>
          <w:tcPr>
            <w:tcW w:type="dxa" w:w="7703"/>
            <w:tcMar>
              <w:top w:w="80" w:type="dxa"/>
              <w:start w:w="110" w:type="dxa"/>
              <w:bottom w:w="8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3F5F7"/>
          </w:tcPr>
          <w:p>
            <w:r>
              <w:t>Group 12</w:t>
            </w:r>
          </w:p>
        </w:tc>
      </w:tr>
      <w:tr>
        <w:tc>
          <w:tcPr>
            <w:tcW w:type="dxa" w:w="2232"/>
            <w:tcMar>
              <w:top w:w="80" w:type="dxa"/>
              <w:start w:w="110" w:type="dxa"/>
              <w:bottom w:w="8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r>
              <w:rPr>
                <w:b/>
              </w:rPr>
              <w:t>Project manager</w:t>
            </w:r>
          </w:p>
        </w:tc>
        <w:tc>
          <w:tcPr>
            <w:tcW w:type="dxa" w:w="7703"/>
            <w:tcMar>
              <w:top w:w="80" w:type="dxa"/>
              <w:start w:w="110" w:type="dxa"/>
              <w:bottom w:w="8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Ranjit Mishra</w:t>
            </w:r>
          </w:p>
        </w:tc>
      </w:tr>
      <w:tr>
        <w:tc>
          <w:tcPr>
            <w:tcW w:type="dxa" w:w="2232"/>
            <w:tcMar>
              <w:top w:w="80" w:type="dxa"/>
              <w:start w:w="110" w:type="dxa"/>
              <w:bottom w:w="8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r>
              <w:rPr>
                <w:b/>
              </w:rPr>
              <w:t>Submission stage</w:t>
            </w:r>
          </w:p>
        </w:tc>
        <w:tc>
          <w:tcPr>
            <w:tcW w:type="dxa" w:w="7703"/>
            <w:tcMar>
              <w:top w:w="80" w:type="dxa"/>
              <w:start w:w="110" w:type="dxa"/>
              <w:bottom w:w="8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3F5F7"/>
          </w:tcPr>
          <w:p>
            <w:r>
              <w:t>Stage 3 Final Deliverables</w:t>
            </w:r>
          </w:p>
        </w:tc>
      </w:tr>
      <w:tr>
        <w:tc>
          <w:tcPr>
            <w:tcW w:type="dxa" w:w="2232"/>
            <w:tcMar>
              <w:top w:w="80" w:type="dxa"/>
              <w:start w:w="110" w:type="dxa"/>
              <w:bottom w:w="8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r>
              <w:rPr>
                <w:b/>
              </w:rPr>
              <w:t>Report date</w:t>
            </w:r>
          </w:p>
        </w:tc>
        <w:tc>
          <w:tcPr>
            <w:tcW w:type="dxa" w:w="7703"/>
            <w:tcMar>
              <w:top w:w="80" w:type="dxa"/>
              <w:start w:w="110" w:type="dxa"/>
              <w:bottom w:w="8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20 October 2026</w:t>
            </w:r>
          </w:p>
        </w:tc>
      </w:tr>
      <w:tr>
        <w:tc>
          <w:tcPr>
            <w:tcW w:type="dxa" w:w="2232"/>
            <w:tcMar>
              <w:top w:w="80" w:type="dxa"/>
              <w:start w:w="110" w:type="dxa"/>
              <w:bottom w:w="8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r>
              <w:rPr>
                <w:b/>
              </w:rPr>
              <w:t>Repository</w:t>
            </w:r>
          </w:p>
        </w:tc>
        <w:tc>
          <w:tcPr>
            <w:tcW w:type="dxa" w:w="7703"/>
            <w:tcMar>
              <w:top w:w="80" w:type="dxa"/>
              <w:start w:w="110" w:type="dxa"/>
              <w:bottom w:w="8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3F5F7"/>
          </w:tcPr>
          <w:p>
            <w:r>
              <w:t>https://github.com/Ranjit-Mishra/customer-churn-stage2-deliverables</w:t>
            </w:r>
          </w:p>
        </w:tc>
      </w:tr>
    </w:tbl>
    <w:p/>
    <w:p>
      <w:pPr>
        <w:jc w:val="center"/>
      </w:pPr>
      <w:r>
        <w:rPr>
          <w:b/>
          <w:sz w:val="21"/>
        </w:rPr>
        <w:t>Prepared by Ranjit Mishra, Pratima Kandel, Muhammad Fahad Nazir and SahilKumar Pravinbhai Patel</w:t>
      </w:r>
    </w:p>
    <w:p>
      <w:r>
        <w:br w:type="page"/>
      </w:r>
    </w:p>
    <w:p>
      <w:pPr>
        <w:pStyle w:val="Heading1"/>
      </w:pPr>
      <w:r>
        <w:t>Executive Summary</w:t>
      </w:r>
    </w:p>
    <w:p>
      <w:pPr>
        <w:spacing w:after="140"/>
      </w:pPr>
      <w:r>
        <w:t>This project analysed 7,043 telecommunications customer records to identify customer segments, predict churn and recommend targeted retention actions. The team prepared and validated the data, produced four K-Means customer segments, trained a feed-forward artificial neural network and translated the evidence into a practical retention plan.</w:t>
      </w:r>
    </w:p>
    <w:p>
      <w:pPr>
        <w:spacing w:after="140"/>
      </w:pPr>
      <w:r>
        <w:t>The clustering analysis identified two high-risk groups: 2,058 newer customers with 44.8% churn and 1,142 higher-value senior customers with 41.7% churn. The ANN was trained on 5,634 records and evaluated on 1,409 reserved records. It achieved ROC-AUC 0.807 and churn recall 0.693, meeting both targets. Accuracy 0.731 and F1-score 0.578 did not meet their targets, mainly because the model favours identifying churn risk and therefore produces more false alerts.</w:t>
      </w:r>
    </w:p>
    <w:p>
      <w:pPr>
        <w:spacing w:after="140"/>
      </w:pPr>
      <w:r>
        <w:t>The main recommendation is a tiered retention program. Newer high-risk customers should receive early onboarding and service checks. Higher-value senior customers should receive accessible support and a bill or plan-value review. Loyal customers should receive recognition and relevant benefits. ANN risk scores should support human review, controlled pilots and measurement, not automatic decisions.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8"/>
              </w:rPr>
              <w:t>Outcome</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8"/>
              </w:rPr>
              <w:t>Result</w:t>
            </w:r>
          </w:p>
        </w:tc>
        <w:tc>
          <w:tcPr>
            <w:tcW w:type="dxa" w:w="525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8"/>
              </w:rPr>
              <w:t>Business meaning</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8"/>
              </w:rPr>
              <w:t>Customer segments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4 labelled clusters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Different groups require different retention actions</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8"/>
              </w:rPr>
              <w:t>Highest segment churn</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44.8%</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Early-tenure customers are the first intervention priority</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8"/>
              </w:rPr>
              <w:t>ANN ROC-AUC</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0.807</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Useful ranking performance on the reserved test set</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8"/>
              </w:rPr>
              <w:t>ANN churn recall</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0.693</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Most actual churn cases are detected, with trade-offs</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8"/>
              </w:rPr>
              <w:t>Implementation decision</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Controlled pilot</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Measure retained revenue, cost, fairness and customer outcomes</w:t>
            </w:r>
          </w:p>
        </w:tc>
      </w:tr>
    </w:tbl>
    <w:p/>
    <w:p>
      <w:pPr>
        <w:pStyle w:val="Heading1"/>
      </w:pPr>
      <w:r>
        <w:t>1 Business Problem and Objectives</w:t>
      </w:r>
    </w:p>
    <w:p>
      <w:pPr>
        <w:spacing w:after="140"/>
      </w:pPr>
      <w:r>
        <w:t>Customer churn reduces recurring revenue, increases acquisition pressure and weakens long-term customer value. The project was designed to help the telecommunications company identify meaningful customer groups, estimate churn risk and focus retention resources where they can create the greatest value.</w:t>
      </w:r>
    </w:p>
    <w:p>
      <w:pPr>
        <w:pStyle w:val="Heading2"/>
      </w:pPr>
      <w:r>
        <w:t>Project Objectives</w:t>
      </w:r>
    </w:p>
    <w:p>
      <w:pPr>
        <w:pStyle w:val="ListNumber"/>
        <w:spacing w:after="60"/>
      </w:pPr>
      <w:r>
        <w:t>Prepare a clean, encoded, scaled and leakage-controlled dataset for analysis and modelling.</w:t>
      </w:r>
    </w:p>
    <w:p>
      <w:pPr>
        <w:pStyle w:val="ListNumber"/>
        <w:spacing w:after="60"/>
      </w:pPr>
      <w:r>
        <w:t>Segment customers with K-Means and explain the resulting groups in business language.</w:t>
      </w:r>
    </w:p>
    <w:p>
      <w:pPr>
        <w:pStyle w:val="ListNumber"/>
        <w:spacing w:after="60"/>
      </w:pPr>
      <w:r>
        <w:t>Define, train and evaluate an ANN that predicts customer churn from available customer attributes.</w:t>
      </w:r>
    </w:p>
    <w:p>
      <w:pPr>
        <w:pStyle w:val="ListNumber"/>
        <w:spacing w:after="60"/>
      </w:pPr>
      <w:r>
        <w:t>Identify predictive churn and retention factors without presenting predictive associations as proven causes.</w:t>
      </w:r>
    </w:p>
    <w:p>
      <w:pPr>
        <w:pStyle w:val="ListNumber"/>
        <w:spacing w:after="60"/>
      </w:pPr>
      <w:r>
        <w:t>Recommend targeted and measurable retention actions, with clear limitations and implementation controls.</w:t>
      </w:r>
    </w:p>
    <w:p>
      <w:pPr>
        <w:pStyle w:val="Heading2"/>
      </w:pPr>
      <w:r>
        <w:t>Success Measures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8"/>
              </w:rPr>
              <w:t>Measure</w:t>
            </w:r>
          </w:p>
        </w:tc>
        <w:tc>
          <w:tcPr>
            <w:tcW w:type="dxa" w:w="3024"/>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8"/>
              </w:rPr>
              <w:t>Target</w:t>
            </w:r>
          </w:p>
        </w:tc>
        <w:tc>
          <w:tcPr>
            <w:tcW w:type="dxa" w:w="360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8"/>
              </w:rPr>
              <w:t>Final result</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8"/>
              </w:rPr>
              <w:t>ROC-AUC</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At least 0.75</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0.807, met</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8"/>
              </w:rPr>
              <w:t>Churn recall</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At least 0.65</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0.693, met</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8"/>
              </w:rPr>
              <w:t>Churn F1-score</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At least 0.60</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0.578, not met</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8"/>
              </w:rPr>
              <w:t>Accuracy</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At least 0.75</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0.731, not met</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8"/>
              </w:rPr>
              <w:t>Business output</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Segment-specific recommendations</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Completed with measures and pilot controls</w:t>
            </w:r>
          </w:p>
        </w:tc>
      </w:tr>
    </w:tbl>
    <w:p/>
    <w:p>
      <w:pPr>
        <w:pStyle w:val="Heading1"/>
      </w:pPr>
      <w:r>
        <w:t>2 Team Roles and Delivery Method</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7"/>
              </w:rPr>
              <w:t>Member</w:t>
            </w:r>
          </w:p>
        </w:tc>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7"/>
              </w:rPr>
              <w:t>Role</w:t>
            </w:r>
          </w:p>
        </w:tc>
        <w:tc>
          <w:tcPr>
            <w:tcW w:type="dxa" w:w="489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7"/>
              </w:rPr>
              <w:t>Primary contribution</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6"/>
              </w:rPr>
              <w:t>Ranjit Mishra</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Project Manager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Planning, Jira and Confluence, evidence integration, quality review, final report, demonstration and submission</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6"/>
              </w:rPr>
              <w:t>Pratima Kandel</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Data Engineer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Data preparation, ANN input validation, preprocessing, leakage controls, feature alignment and class-balance evidence</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6"/>
              </w:rPr>
              <w:t>Muhammad Fahad Nazir</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Clustering Analyst and ANN Technical Lead</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K-Means analysis, ANN architecture, training, predictions, evaluation and model visualisations</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6"/>
              </w:rPr>
              <w:t>SahilKumar Pravinbhai Patel</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Business Analyst</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Churn and retention interpretation, targeted recommendations, business measures, limitations and proposed solutions</w:t>
            </w:r>
          </w:p>
        </w:tc>
      </w:tr>
    </w:tbl>
    <w:p/>
    <w:p>
      <w:pPr>
        <w:spacing w:after="140"/>
      </w:pPr>
      <w:r>
        <w:t>The original predictive-modelling role became unavailable. The four active members redistributed the work: Pratima validated the model inputs, Fahad led the ANN implementation, Sahil completed the business interpretation, and Ranjit coordinated integration and quality control. Jira recorded owners, deadlines, progress, blockers and completion evidence.</w:t>
      </w:r>
    </w:p>
    <w:p>
      <w:pPr>
        <w:pStyle w:val="Heading1"/>
      </w:pPr>
      <w:r>
        <w:t>3 Data Preparation and Validation</w:t>
      </w:r>
    </w:p>
    <w:p>
      <w:pPr>
        <w:spacing w:after="140"/>
      </w:pPr>
      <w:r>
        <w:t>The supplied dataset contains 7,043 rows, nine customer attributes and the Churn target. No missing values were found. Categorical variables were one-hot encoded and numeric variables were standardised. An 80/20 stratified split produced 5,634 training rows and 1,409 testing rows.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8"/>
              </w:rPr>
              <w:t>Control</w:t>
            </w:r>
          </w:p>
        </w:tc>
        <w:tc>
          <w:tcPr>
            <w:tcW w:type="dxa" w:w="676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8"/>
              </w:rPr>
              <w:t>Result</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8"/>
              </w:rPr>
              <w:t>Missing data</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No missing values in the supplied data or final model inputs</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8"/>
              </w:rPr>
              <w:t>Train and test separation</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Split completed before fitting the encoder or scaler</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8"/>
              </w:rPr>
              <w:t>Numeric scaling</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StandardScaler fitted on training data only</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8"/>
              </w:rPr>
              <w:t>Categorical encoding</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OneHotEncoder fitted on training data with unknown-category handling</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8"/>
              </w:rPr>
              <w:t>Leakage prevention</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Churn target and generated identifiers excluded from model inputs</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8"/>
              </w:rPr>
              <w:t>Feature alignment</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16 input features with identical names and order across training and testing sets</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8"/>
              </w:rPr>
              <w:t>Class balance</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26.54% churn in both splits; balanced training weights used</w:t>
            </w:r>
          </w:p>
        </w:tc>
      </w:tr>
    </w:tbl>
    <w:p/>
    <w:p>
      <w:pPr>
        <w:spacing w:after="140"/>
      </w:pPr>
      <w:r>
        <w:t>A key data limitation is that 302 rows are identical. They were retained because the dataset has no true customer identifier, so identical profiles cannot be proven to be accidental duplicates.</w:t>
      </w:r>
    </w:p>
    <w:p>
      <w:pPr>
        <w:pStyle w:val="Heading1"/>
      </w:pPr>
      <w:r>
        <w:t>4 Customer Segmentation</w:t>
      </w:r>
    </w:p>
    <w:p>
      <w:pPr>
        <w:spacing w:after="140"/>
      </w:pPr>
      <w:r>
        <w:t>K-Means clustering was applied to the prepared feature set without using Churn as an input. The elbow method tested cluster counts from two to eight, and four clusters were selected as an explainable balance between model fit and business usefulness.</w:t>
      </w:r>
    </w:p>
    <w:p>
      <w:pPr>
        <w:keepNext/>
        <w:jc w:val="center"/>
      </w:pPr>
      <w:r>
        <w:drawing>
          <wp:inline xmlns:a="http://schemas.openxmlformats.org/drawingml/2006/main" xmlns:pic="http://schemas.openxmlformats.org/drawingml/2006/picture">
            <wp:extent cx="6035040" cy="3771900"/>
            <wp:docPr id="1" name="Picture 1"/>
            <wp:cNvGraphicFramePr>
              <a:graphicFrameLocks noChangeAspect="1"/>
            </wp:cNvGraphicFramePr>
            <a:graphic>
              <a:graphicData uri="http://schemas.openxmlformats.org/drawingml/2006/picture">
                <pic:pic>
                  <pic:nvPicPr>
                    <pic:cNvPr id="0" name="elbow_method.png"/>
                    <pic:cNvPicPr/>
                  </pic:nvPicPr>
                  <pic:blipFill>
                    <a:blip r:embed="rId11"/>
                    <a:stretch>
                      <a:fillRect/>
                    </a:stretch>
                  </pic:blipFill>
                  <pic:spPr>
                    <a:xfrm>
                      <a:off x="0" y="0"/>
                      <a:ext cx="6035040" cy="3771900"/>
                    </a:xfrm>
                    <a:prstGeom prst="rect"/>
                  </pic:spPr>
                </pic:pic>
              </a:graphicData>
            </a:graphic>
          </wp:inline>
        </w:drawing>
      </w:r>
    </w:p>
    <w:p>
      <w:pPr>
        <w:pStyle w:val="Caption"/>
        <w:spacing w:after="160"/>
        <w:jc w:val="center"/>
      </w:pPr>
      <w:r>
        <w:t>Figure 1. Elbow-method evidence supporting four customer clusters.</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7"/>
              </w:rPr>
              <w:t>Segment</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7"/>
              </w:rPr>
              <w:t>Customers</w:t>
            </w:r>
          </w:p>
        </w:tc>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7"/>
              </w:rPr>
              <w:t>Churn</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7"/>
              </w:rPr>
              <w:t>Avg tenure</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7"/>
              </w:rPr>
              <w:t>Avg charge</w:t>
            </w:r>
          </w:p>
        </w:tc>
        <w:tc>
          <w:tcPr>
            <w:tcW w:type="dxa" w:w="345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7"/>
              </w:rPr>
              <w:t>Interpretation</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High-risk newer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2,058</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44.8%</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12.5 mo</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$73.75</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Early-life retention priority</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Standard service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2,037</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11.2%</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29.1 mo</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$26.46</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Low-cost, lower-risk group</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Loyal long-term</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1,806</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13.5%</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58.2 mo</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$88.18</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Strong relationship despite higher charges</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Higher-value senior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1,142</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41.7%</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33.3 mo</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$79.82</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High-value support and affordability priority</w:t>
            </w:r>
          </w:p>
        </w:tc>
      </w:tr>
    </w:tbl>
    <w:p/>
    <w:p>
      <w:pPr>
        <w:keepNext/>
        <w:jc w:val="center"/>
      </w:pPr>
      <w:r>
        <w:drawing>
          <wp:inline xmlns:a="http://schemas.openxmlformats.org/drawingml/2006/main" xmlns:pic="http://schemas.openxmlformats.org/drawingml/2006/picture">
            <wp:extent cx="6035040" cy="3771900"/>
            <wp:docPr id="2" name="Picture 2"/>
            <wp:cNvGraphicFramePr>
              <a:graphicFrameLocks noChangeAspect="1"/>
            </wp:cNvGraphicFramePr>
            <a:graphic>
              <a:graphicData uri="http://schemas.openxmlformats.org/drawingml/2006/picture">
                <pic:pic>
                  <pic:nvPicPr>
                    <pic:cNvPr id="0" name="churn_rate_by_cluster.png"/>
                    <pic:cNvPicPr/>
                  </pic:nvPicPr>
                  <pic:blipFill>
                    <a:blip r:embed="rId12"/>
                    <a:stretch>
                      <a:fillRect/>
                    </a:stretch>
                  </pic:blipFill>
                  <pic:spPr>
                    <a:xfrm>
                      <a:off x="0" y="0"/>
                      <a:ext cx="6035040" cy="3771900"/>
                    </a:xfrm>
                    <a:prstGeom prst="rect"/>
                  </pic:spPr>
                </pic:pic>
              </a:graphicData>
            </a:graphic>
          </wp:inline>
        </w:drawing>
      </w:r>
    </w:p>
    <w:p>
      <w:pPr>
        <w:pStyle w:val="Caption"/>
        <w:spacing w:after="160"/>
        <w:jc w:val="center"/>
      </w:pPr>
      <w:r>
        <w:t>Figure 2. Churn rate differs substantially across the four customer segments.</w:t>
      </w:r>
    </w:p>
    <w:p>
      <w:pPr>
        <w:keepNext/>
        <w:jc w:val="center"/>
      </w:pPr>
      <w:r>
        <w:drawing>
          <wp:inline xmlns:a="http://schemas.openxmlformats.org/drawingml/2006/main" xmlns:pic="http://schemas.openxmlformats.org/drawingml/2006/picture">
            <wp:extent cx="6035040" cy="3771900"/>
            <wp:docPr id="3" name="Picture 3"/>
            <wp:cNvGraphicFramePr>
              <a:graphicFrameLocks noChangeAspect="1"/>
            </wp:cNvGraphicFramePr>
            <a:graphic>
              <a:graphicData uri="http://schemas.openxmlformats.org/drawingml/2006/picture">
                <pic:pic>
                  <pic:nvPicPr>
                    <pic:cNvPr id="0" name="tenure_monthlycharges_clusters.png"/>
                    <pic:cNvPicPr/>
                  </pic:nvPicPr>
                  <pic:blipFill>
                    <a:blip r:embed="rId13"/>
                    <a:stretch>
                      <a:fillRect/>
                    </a:stretch>
                  </pic:blipFill>
                  <pic:spPr>
                    <a:xfrm>
                      <a:off x="0" y="0"/>
                      <a:ext cx="6035040" cy="3771900"/>
                    </a:xfrm>
                    <a:prstGeom prst="rect"/>
                  </pic:spPr>
                </pic:pic>
              </a:graphicData>
            </a:graphic>
          </wp:inline>
        </w:drawing>
      </w:r>
    </w:p>
    <w:p>
      <w:pPr>
        <w:pStyle w:val="Caption"/>
        <w:spacing w:after="160"/>
        <w:jc w:val="center"/>
      </w:pPr>
      <w:r>
        <w:t>Figure 3. Customer segments by tenure and monthly charges.</w:t>
      </w:r>
    </w:p>
    <w:p>
      <w:pPr>
        <w:pStyle w:val="Heading1"/>
      </w:pPr>
      <w:r>
        <w:t>5 ANN Architecture and Training</w:t>
      </w:r>
    </w:p>
    <w:p>
      <w:pPr>
        <w:spacing w:after="140"/>
      </w:pPr>
      <w:r>
        <w:t>The implemented model is a feed-forward MLPClassifier with 16 inputs, hidden layers of 32 and 16 ReLU neurons, and a binary churn-probability output. Adam optimisation used a learning rate of 0.001. L2 regularisation, a 20% validation split and early stopping controlled overfitting. Balanced sample weights addressed the minority churn class.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24"/>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8"/>
              </w:rPr>
              <w:t>Stage</w:t>
            </w:r>
          </w:p>
        </w:tc>
        <w:tc>
          <w:tcPr>
            <w:tcW w:type="dxa" w:w="684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8"/>
              </w:rPr>
              <w:t>Configuration</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8"/>
              </w:rPr>
              <w:t>Input</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16 validated and aligned customer features</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8"/>
              </w:rPr>
              <w:t>Hidden layer 1</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32 ReLU neurons</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8"/>
              </w:rPr>
              <w:t>Hidden layer 2</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16 ReLU neurons</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8"/>
              </w:rPr>
              <w:t>Output</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Binary churn probability; threshold 0.50</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8"/>
              </w:rPr>
              <w:t>Training</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Adam, learning rate 0.001, maximum 100 epochs</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8"/>
              </w:rPr>
              <w:t>Controls</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L2 alpha 0.001, 20% validation, patience 10, early stopping</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8"/>
              </w:rPr>
              <w:t>Final convergence</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19 completed epochs</w:t>
            </w:r>
          </w:p>
        </w:tc>
      </w:tr>
    </w:tbl>
    <w:p/>
    <w:p>
      <w:pPr>
        <w:spacing w:after="140"/>
      </w:pPr>
      <w:r>
        <w:t>The original plan included dropout. The implemented scikit-learn library does not expose dropout, so L2 regularisation replaced it. This controlled change is documented rather than hidden.</w:t>
      </w:r>
    </w:p>
    <w:p>
      <w:pPr>
        <w:keepNext/>
        <w:jc w:val="center"/>
      </w:pPr>
      <w:r>
        <w:drawing>
          <wp:inline xmlns:a="http://schemas.openxmlformats.org/drawingml/2006/main" xmlns:pic="http://schemas.openxmlformats.org/drawingml/2006/picture">
            <wp:extent cx="6035040" cy="3771900"/>
            <wp:docPr id="4" name="Picture 4"/>
            <wp:cNvGraphicFramePr>
              <a:graphicFrameLocks noChangeAspect="1"/>
            </wp:cNvGraphicFramePr>
            <a:graphic>
              <a:graphicData uri="http://schemas.openxmlformats.org/drawingml/2006/picture">
                <pic:pic>
                  <pic:nvPicPr>
                    <pic:cNvPr id="0" name="ann_training_loss.png"/>
                    <pic:cNvPicPr/>
                  </pic:nvPicPr>
                  <pic:blipFill>
                    <a:blip r:embed="rId14"/>
                    <a:stretch>
                      <a:fillRect/>
                    </a:stretch>
                  </pic:blipFill>
                  <pic:spPr>
                    <a:xfrm>
                      <a:off x="0" y="0"/>
                      <a:ext cx="6035040" cy="3771900"/>
                    </a:xfrm>
                    <a:prstGeom prst="rect"/>
                  </pic:spPr>
                </pic:pic>
              </a:graphicData>
            </a:graphic>
          </wp:inline>
        </w:drawing>
      </w:r>
    </w:p>
    <w:p>
      <w:pPr>
        <w:pStyle w:val="Caption"/>
        <w:spacing w:after="160"/>
        <w:jc w:val="center"/>
      </w:pPr>
      <w:r>
        <w:t>Figure 4. Training and validation loss used to review convergence.</w:t>
      </w:r>
    </w:p>
    <w:p>
      <w:pPr>
        <w:pStyle w:val="Heading1"/>
      </w:pPr>
      <w:r>
        <w:t>6 ANN Performance and Predictions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8"/>
              </w:rPr>
              <w:t>Metric</w:t>
            </w:r>
          </w:p>
        </w:tc>
        <w:tc>
          <w:tcPr>
            <w:tcW w:type="dxa" w:w="2015"/>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8"/>
              </w:rPr>
              <w:t>Result</w:t>
            </w:r>
          </w:p>
        </w:tc>
        <w:tc>
          <w:tcPr>
            <w:tcW w:type="dxa" w:w="2015"/>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8"/>
              </w:rPr>
              <w:t>Target</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8"/>
              </w:rPr>
              <w:t>Status</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8"/>
              </w:rPr>
              <w:t>Accuracy</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0.731</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0.750</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Not met</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8"/>
              </w:rPr>
              <w:t>Balanced accuracy</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0.719</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Not set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Reported</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8"/>
              </w:rPr>
              <w:t>Churn precision</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0.495</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Not set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Reported</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8"/>
              </w:rPr>
              <w:t>Churn recall</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0.693</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0.650</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Met</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8"/>
              </w:rPr>
              <w:t>Churn F1-score</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0.578</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0.600</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Not met</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8"/>
              </w:rPr>
              <w:t>ROC-AUC</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0.807</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0.750</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Met</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8"/>
              </w:rPr>
              <w:t>Average precision</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0.606</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Not set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Reported</w:t>
            </w:r>
          </w:p>
        </w:tc>
      </w:tr>
    </w:tbl>
    <w:p/>
    <w:p>
      <w:pPr>
        <w:spacing w:after="140"/>
      </w:pPr>
      <w:r>
        <w:t>On the reserved test set, the model correctly predicted 771 non-churn customers and 259 churn customers. It produced 264 false churn alerts and missed 115 churn cases. Recall and ROC-AUC met target, showing useful risk-ranking ability. The lower precision and F1-score mean that model flags require human review.</w:t>
      </w:r>
    </w:p>
    <w:p>
      <w:pPr>
        <w:keepNext/>
        <w:jc w:val="center"/>
      </w:pPr>
      <w:r>
        <w:drawing>
          <wp:inline xmlns:a="http://schemas.openxmlformats.org/drawingml/2006/main" xmlns:pic="http://schemas.openxmlformats.org/drawingml/2006/picture">
            <wp:extent cx="5303520" cy="4487594"/>
            <wp:docPr id="5" name="Picture 5"/>
            <wp:cNvGraphicFramePr>
              <a:graphicFrameLocks noChangeAspect="1"/>
            </wp:cNvGraphicFramePr>
            <a:graphic>
              <a:graphicData uri="http://schemas.openxmlformats.org/drawingml/2006/picture">
                <pic:pic>
                  <pic:nvPicPr>
                    <pic:cNvPr id="0" name="ann_confusion_matrix.png"/>
                    <pic:cNvPicPr/>
                  </pic:nvPicPr>
                  <pic:blipFill>
                    <a:blip r:embed="rId15"/>
                    <a:stretch>
                      <a:fillRect/>
                    </a:stretch>
                  </pic:blipFill>
                  <pic:spPr>
                    <a:xfrm>
                      <a:off x="0" y="0"/>
                      <a:ext cx="5303520" cy="4487594"/>
                    </a:xfrm>
                    <a:prstGeom prst="rect"/>
                  </pic:spPr>
                </pic:pic>
              </a:graphicData>
            </a:graphic>
          </wp:inline>
        </w:drawing>
      </w:r>
    </w:p>
    <w:p>
      <w:pPr>
        <w:pStyle w:val="Caption"/>
        <w:spacing w:after="160"/>
        <w:jc w:val="center"/>
      </w:pPr>
      <w:r>
        <w:t>Figure 5. ANN confusion matrix on the reserved testing set.</w:t>
      </w:r>
    </w:p>
    <w:p>
      <w:pPr>
        <w:keepNext/>
        <w:jc w:val="center"/>
      </w:pPr>
      <w:r>
        <w:drawing>
          <wp:inline xmlns:a="http://schemas.openxmlformats.org/drawingml/2006/main" xmlns:pic="http://schemas.openxmlformats.org/drawingml/2006/picture">
            <wp:extent cx="6035040" cy="4741817"/>
            <wp:docPr id="6" name="Picture 6"/>
            <wp:cNvGraphicFramePr>
              <a:graphicFrameLocks noChangeAspect="1"/>
            </wp:cNvGraphicFramePr>
            <a:graphic>
              <a:graphicData uri="http://schemas.openxmlformats.org/drawingml/2006/picture">
                <pic:pic>
                  <pic:nvPicPr>
                    <pic:cNvPr id="0" name="ann_roc_curve.png"/>
                    <pic:cNvPicPr/>
                  </pic:nvPicPr>
                  <pic:blipFill>
                    <a:blip r:embed="rId16"/>
                    <a:stretch>
                      <a:fillRect/>
                    </a:stretch>
                  </pic:blipFill>
                  <pic:spPr>
                    <a:xfrm>
                      <a:off x="0" y="0"/>
                      <a:ext cx="6035040" cy="4741817"/>
                    </a:xfrm>
                    <a:prstGeom prst="rect"/>
                  </pic:spPr>
                </pic:pic>
              </a:graphicData>
            </a:graphic>
          </wp:inline>
        </w:drawing>
      </w:r>
    </w:p>
    <w:p>
      <w:pPr>
        <w:pStyle w:val="Caption"/>
        <w:spacing w:after="160"/>
        <w:jc w:val="center"/>
      </w:pPr>
      <w:r>
        <w:t>Figure 6. Test ROC curve with ROC-AUC of 0.807.</w:t>
      </w:r>
    </w:p>
    <w:p>
      <w:pPr>
        <w:pStyle w:val="Heading1"/>
      </w:pPr>
      <w:r>
        <w:t>7 Churn and Retention Factors</w:t>
      </w:r>
    </w:p>
    <w:p>
      <w:pPr>
        <w:spacing w:after="140"/>
      </w:pPr>
      <w:r>
        <w:t>The segmentation and ANN results point to a consistent set of predictive patterns. These findings support retention decisions but do not prove that any single factor causes churn.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7"/>
              </w:rPr>
              <w:t>Factor</w:t>
            </w:r>
          </w:p>
        </w:tc>
        <w:tc>
          <w:tcPr>
            <w:tcW w:type="dxa" w:w="4031"/>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7"/>
              </w:rPr>
              <w:t>Evidence</w:t>
            </w:r>
          </w:p>
        </w:tc>
        <w:tc>
          <w:tcPr>
            <w:tcW w:type="dxa" w:w="3744"/>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7"/>
              </w:rPr>
              <w:t>Interpretation</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6"/>
              </w:rPr>
              <w:t>Short tenure</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Strongest permutation signal; high-risk newer segment averages 12.5 months</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Early customer experience is the first retention priority</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6"/>
              </w:rPr>
              <w:t>Higher monthly charges</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Second strongest signal; high-risk groups average $73.75 and $79.82</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Price and perceived value should be reviewed together</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6"/>
              </w:rPr>
              <w:t>Contract type</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Two-year contract indicator is among the stronger model signals</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Suitable contract conversion may improve retention</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6"/>
              </w:rPr>
              <w:t>Senior-customer needs</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Higher-value senior segment has 41.7% churn</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Accessible support and billing clarity should be tested</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6"/>
              </w:rPr>
              <w:t>Long tenure</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Loyal segment averages 58.2 months with 13.5% churn</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Established relationship is a strong retention pattern</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6"/>
              </w:rPr>
              <w:t>Lower-cost service</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Standard segment averages $26.46 with 11.2% churn</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Broad discounts are unlikely to be efficient for this group</w:t>
            </w:r>
          </w:p>
        </w:tc>
      </w:tr>
    </w:tbl>
    <w:p/>
    <w:p>
      <w:pPr>
        <w:keepNext/>
        <w:jc w:val="center"/>
      </w:pPr>
      <w:r>
        <w:drawing>
          <wp:inline xmlns:a="http://schemas.openxmlformats.org/drawingml/2006/main" xmlns:pic="http://schemas.openxmlformats.org/drawingml/2006/picture">
            <wp:extent cx="6035040" cy="4149090"/>
            <wp:docPr id="7" name="Picture 7"/>
            <wp:cNvGraphicFramePr>
              <a:graphicFrameLocks noChangeAspect="1"/>
            </wp:cNvGraphicFramePr>
            <a:graphic>
              <a:graphicData uri="http://schemas.openxmlformats.org/drawingml/2006/picture">
                <pic:pic>
                  <pic:nvPicPr>
                    <pic:cNvPr id="0" name="ann_feature_importance.png"/>
                    <pic:cNvPicPr/>
                  </pic:nvPicPr>
                  <pic:blipFill>
                    <a:blip r:embed="rId17"/>
                    <a:stretch>
                      <a:fillRect/>
                    </a:stretch>
                  </pic:blipFill>
                  <pic:spPr>
                    <a:xfrm>
                      <a:off x="0" y="0"/>
                      <a:ext cx="6035040" cy="4149090"/>
                    </a:xfrm>
                    <a:prstGeom prst="rect"/>
                  </pic:spPr>
                </pic:pic>
              </a:graphicData>
            </a:graphic>
          </wp:inline>
        </w:drawing>
      </w:r>
    </w:p>
    <w:p>
      <w:pPr>
        <w:pStyle w:val="Caption"/>
        <w:spacing w:after="160"/>
        <w:jc w:val="center"/>
      </w:pPr>
      <w:r>
        <w:t>Figure 7. Predictive feature importance; values are not causal effects.</w:t>
      </w:r>
    </w:p>
    <w:p>
      <w:pPr>
        <w:pStyle w:val="Heading1"/>
      </w:pPr>
      <w:r>
        <w:t>8 Targeted Retention Recommendations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7"/>
              </w:rPr>
              <w:t>Priority group</w:t>
            </w:r>
          </w:p>
        </w:tc>
        <w:tc>
          <w:tcPr>
            <w:tcW w:type="dxa" w:w="468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7"/>
              </w:rPr>
              <w:t>Recommended action</w:t>
            </w:r>
          </w:p>
        </w:tc>
        <w:tc>
          <w:tcPr>
            <w:tcW w:type="dxa" w:w="273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7"/>
              </w:rPr>
              <w:t>Measures</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6"/>
              </w:rPr>
              <w:t>High-risk newer customers</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30, 60 and 90-day onboarding, proactive service checks, issue follow-up and suitable contract-conversion offers</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90-day churn, resolution time, offer acceptance, retained revenue</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6"/>
              </w:rPr>
              <w:t>Higher-value senior customers</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Clear bill review, accessible support, plan-value check, price protection or plan right-sizing</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Churn, repeat contacts, complaints, plan changes, satisfaction</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6"/>
              </w:rPr>
              <w:t>Loyal long-term customers</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Recognition, loyalty benefits, referral options and relevant upgrades rather than blanket discounts</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Retention, referrals, upgrade acceptance, margin</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6"/>
              </w:rPr>
              <w:t>Standard service customers</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Low-cost digital education and service reminders; escalate only when risk rises</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Engagement, churn, intervention cost</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6"/>
              </w:rPr>
              <w:t>ANN high-risk queue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Combine probability, segment and value for human review before offering an incentive</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Precision, recall, retained revenue, incentive cost, false-positive rate</w:t>
            </w:r>
          </w:p>
        </w:tc>
      </w:tr>
    </w:tbl>
    <w:p/>
    <w:p>
      <w:pPr>
        <w:pStyle w:val="Heading2"/>
      </w:pPr>
      <w:r>
        <w:t>Pilot Sequence</w:t>
      </w:r>
    </w:p>
    <w:p>
      <w:pPr>
        <w:pStyle w:val="ListNumber"/>
        <w:spacing w:after="60"/>
      </w:pPr>
      <w:r>
        <w:t>Run a four-week pilot for the two highest-risk segments.</w:t>
      </w:r>
    </w:p>
    <w:p>
      <w:pPr>
        <w:pStyle w:val="ListNumber"/>
        <w:spacing w:after="60"/>
      </w:pPr>
      <w:r>
        <w:t>Use the ANN score as a ranking tool and retain staff review before contact.</w:t>
      </w:r>
    </w:p>
    <w:p>
      <w:pPr>
        <w:pStyle w:val="ListNumber"/>
        <w:spacing w:after="60"/>
      </w:pPr>
      <w:r>
        <w:t>Hold out a comparable group so incremental retention impact can be measured.</w:t>
      </w:r>
    </w:p>
    <w:p>
      <w:pPr>
        <w:pStyle w:val="ListNumber"/>
        <w:spacing w:after="60"/>
      </w:pPr>
      <w:r>
        <w:t>Track churn, retained revenue, offer cost, complaints, false positives and group outcomes.</w:t>
      </w:r>
    </w:p>
    <w:p>
      <w:pPr>
        <w:pStyle w:val="ListNumber"/>
        <w:spacing w:after="60"/>
      </w:pPr>
      <w:r>
        <w:t>Expand only if the pilot improves retention without unacceptable cost or fairness concerns.</w:t>
      </w:r>
    </w:p>
    <w:p>
      <w:pPr>
        <w:pStyle w:val="Heading1"/>
      </w:pPr>
      <w:r>
        <w:t>9 Limitations and Proposed Solutions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7"/>
              </w:rPr>
              <w:t>Limitation</w:t>
            </w:r>
          </w:p>
        </w:tc>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7"/>
              </w:rPr>
              <w:t>Impact</w:t>
            </w:r>
          </w:p>
        </w:tc>
        <w:tc>
          <w:tcPr>
            <w:tcW w:type="dxa" w:w="432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7"/>
              </w:rPr>
              <w:t>Proposed solution</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6"/>
              </w:rPr>
              <w:t>Only nine customer attributes</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Important behaviour and service causes are missing</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Add usage, billing, payment, complaints, outages and support-history fields after governance review</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6"/>
              </w:rPr>
              <w:t>No true customer identifier</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302 identical rows cannot be verified</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Add a stable anonymised customer key and duplicate-resolution rules</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6"/>
              </w:rPr>
              <w:t>One historical dataset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Future or external performance is unknown</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Use a time-based holdout and monitor monthly performance</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6"/>
              </w:rPr>
              <w:t>Class imbalance</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Accuracy can hide missed churn cases</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Continue class weighting and use recall, F1, balanced accuracy, ROC-AUC and precision-recall evidence</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6"/>
              </w:rPr>
              <w:t>Accuracy and F1 missed target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More false alerts are created while recall is prioritised</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Tune threshold and architecture with validation data, collect stronger features and compare simple baselines</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6"/>
              </w:rPr>
              <w:t>Threshold fixed at 0.50</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May not match actual business costs</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Choose a threshold using a documented cost-benefit rule</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6"/>
              </w:rPr>
              <w:t>Predictive importance is not causal</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Signals do not explain why customers leave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Combine model evidence with customer research, complaint analysis and controlled pilots</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6"/>
              </w:rPr>
              <w:t>No production monitoring</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Performance and fairness may drift</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Monitor data drift, recall, precision, segment outcomes and retraining triggers</w:t>
            </w:r>
          </w:p>
        </w:tc>
      </w:tr>
    </w:tbl>
    <w:p/>
    <w:p>
      <w:pPr>
        <w:pStyle w:val="Heading1"/>
      </w:pPr>
      <w:r>
        <w:t>10 Conclusion and Next Steps</w:t>
      </w:r>
    </w:p>
    <w:p>
      <w:pPr>
        <w:spacing w:after="140"/>
      </w:pPr>
      <w:r>
        <w:t>The project delivered the required data preparation, customer segmentation, ANN model, prediction evidence, evaluation and business recommendations. Four segments provide an understandable view of customer differences, while the ANN provides useful churn-risk ranking with ROC-AUC 0.807 and recall 0.693.</w:t>
      </w:r>
    </w:p>
    <w:p>
      <w:pPr>
        <w:spacing w:after="140"/>
      </w:pPr>
      <w:r>
        <w:t>The evidence supports a controlled retention pilot, not automatic deployment. The company should focus first on newer high-risk customers and higher-value senior customers, apply human review, measure incremental retained revenue and monitor cost, complaints and fairness. Future work should add stronger behavioural data, validate performance over time and select a threshold based on real business costs.</w:t>
      </w:r>
    </w:p>
    <w:p>
      <w:r>
        <w:br w:type="page"/>
      </w:r>
    </w:p>
    <w:p>
      <w:pPr>
        <w:pStyle w:val="Heading1"/>
      </w:pPr>
      <w:r>
        <w:t>11 Evidence and Repository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7"/>
              </w:rPr>
              <w:t>Evidence area</w:t>
            </w:r>
          </w:p>
        </w:tc>
        <w:tc>
          <w:tcPr>
            <w:tcW w:type="dxa" w:w="6983"/>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7"/>
              </w:rPr>
              <w:t>Location</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6"/>
              </w:rPr>
              <w:t>Public repository</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https://github.com/Ranjit-Mishra/customer-churn-stage2-deliverables</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6"/>
              </w:rPr>
              <w:t>Data preparation</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Data_Preparation folder and scripts/01_data_preparation.py</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6"/>
              </w:rPr>
              <w:t>Clustering analysis</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Clustering_Analysis folder and scripts/02_clustering_analysis.py</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6"/>
              </w:rPr>
              <w:t>ANN readiness</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Predictive_Modeling/docs/ANN_Data_Validation_and_Architecture_Plan.docx</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6"/>
              </w:rPr>
              <w:t>ANN model evidence</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Predictive_Modeling/docs/ANN_Model_Architecture_Training_and_Evaluation.docx</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6"/>
              </w:rPr>
              <w:t>Trained ANN</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Predictive_Modeling/models/ann_mlp_model.joblib</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6"/>
              </w:rPr>
              <w:t>ANN training code</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scripts/07_train_ann_model.py</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6"/>
              </w:rPr>
              <w:t>Predictions and metrics</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Predictive_Modeling/results</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6"/>
              </w:rPr>
              <w:t>Final report</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Final_Report/Final_Report.docx</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6"/>
              </w:rPr>
              <w:t>Jira progress</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https://ranjitmishra757.atlassian.net/issues?jql=project%20%3D%20KAN%20ORDER%20BY%20duedate%20ASC</w:t>
            </w:r>
          </w:p>
        </w:tc>
      </w:tr>
    </w:tbl>
    <w:p/>
    <w:p>
      <w:pPr>
        <w:spacing w:after="140"/>
      </w:pPr>
      <w:r>
        <w:t>All reported figures were taken from the saved project outputs. Automated verification scripts check the Stage 2 package, ANN readiness and Stage 3 progress. Private speaking notes are not included in the repository or shared project documentation.</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05050"/>
        <w:sz w:val="18"/>
      </w:rPr>
      <w:t>Customer Churn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6464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