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 Model Architecture Training and Evaluation</w:t>
      </w:r>
    </w:p>
    <w:p>
      <w:pPr>
        <w:jc w:val="left"/>
      </w:pPr>
      <w:r>
        <w:rPr>
          <w:rFonts w:ascii="Aptos Display" w:hAnsi="Aptos Display"/>
          <w:color w:val="464646"/>
          <w:sz w:val="30"/>
        </w:rPr>
        <w:t>Stage 3 predictive modelling evidence</w:t>
      </w:r>
    </w:p>
    <w:tbl>
      <w:tblPr>
        <w:tblW w:type="auto" w:w="0"/>
        <w:jc w:val="left"/>
        <w:tblLayout w:type="fixed"/>
        <w:tblLook w:firstColumn="1" w:firstRow="1" w:lastColumn="0" w:lastRow="0" w:noHBand="0" w:noVBand="1" w:val="04A0"/>
      </w:tblPr>
      <w:tblGrid>
        <w:gridCol w:w="4997"/>
        <w:gridCol w:w="4997"/>
      </w:tblGrid>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Project</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Customer Churn Analysis for Advanced Telecommunications Solutions</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Technical lead</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3F5F7"/>
          </w:tcPr>
          <w:p>
            <w:r>
              <w:t>Muhammad Fahad Nazir</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Data validation</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Pratima Kandel</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Project manager</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3F5F7"/>
          </w:tcPr>
          <w:p>
            <w:r>
              <w:t>Ranjit Mishra</w:t>
            </w:r>
          </w:p>
        </w:tc>
      </w:tr>
      <w:tr>
        <w:tc>
          <w:tcPr>
            <w:tcW w:type="dxa" w:w="2232"/>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r>
              <w:rPr>
                <w:b/>
              </w:rPr>
              <w:t>Version</w:t>
            </w:r>
          </w:p>
        </w:tc>
        <w:tc>
          <w:tcPr>
            <w:tcW w:type="dxa" w:w="7703"/>
            <w:tcMar>
              <w:top w:w="80" w:type="dxa"/>
              <w:start w:w="110" w:type="dxa"/>
              <w:bottom w:w="80"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r>
              <w:t>Final evidence, 20 October 2026</w:t>
            </w:r>
          </w:p>
        </w:tc>
      </w:tr>
    </w:tbl>
    <w:p/>
    <w:p>
      <w:pPr>
        <w:pStyle w:val="Heading1"/>
      </w:pPr>
      <w:r>
        <w:t>Purpose and Result</w:t>
      </w:r>
    </w:p>
    <w:p>
      <w:pPr>
        <w:spacing w:after="140"/>
      </w:pPr>
      <w:r>
        <w:t>This document records the implemented artificial neural network, its training controls, final test results, saved evidence and limitations. The model is a reproducible decision-support proof of concept for customer churn prediction. It met the project targets for churn recall and ROC-AUC, while accuracy and F1-score remained below target.</w:t>
      </w:r>
    </w:p>
    <w:p>
      <w:pPr>
        <w:pStyle w:val="Heading1"/>
      </w:pPr>
      <w:r>
        <w:t>Validated Model Inputs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Input item</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Final value</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Control</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Source data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7,043 rows and 10 columns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Official supplied dataset</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Training set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5,634 rows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80% stratified split</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Testing set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1,409 rows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20% reserved test split</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Model features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16 encoded inputs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Same names and order across splits</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Target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Churn: No = 0, Yes = 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Excluded from input features</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Preprocessing</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StandardScaler and OneHotEncoder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Fitted on training data only</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Missing or infinite values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Automated validation passed</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Training churn rate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26.54%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Class weighting used</w:t>
            </w:r>
          </w:p>
        </w:tc>
      </w:tr>
    </w:tbl>
    <w:p/>
    <w:p>
      <w:pPr>
        <w:pStyle w:val="Heading1"/>
      </w:pPr>
      <w:r>
        <w:t>Implemented ANN Architecture</w:t>
      </w:r>
    </w:p>
    <w:p>
      <w:pPr>
        <w:spacing w:after="140"/>
      </w:pPr>
      <w:r>
        <w:t>The implementation uses scikit-learn MLPClassifier, which is a feed-forward artificial neural network. The supplied runtime did not expose dropout layers, so the planned dropout control was replaced with L2 regularisation. Early stopping, validation monitoring and balanced sample weights were retained.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Component</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Configuration</w:t>
            </w:r>
          </w:p>
        </w:tc>
        <w:tc>
          <w:tcPr>
            <w:tcW w:type="dxa" w:w="4608"/>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Purpose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Input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16 features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Receives validated numeric and encoded categorical attributes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Hidden layer 1</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32 neurons, ReLU</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Learns non-linear customer patterns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Hidden layer 2</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16 neurons, ReLU</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Combines a smaller predictive representation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Output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Binary churn probability</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Returns probability used with a 0.50 threshold</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Optimiser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Adam, learning rate 0.001</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Supports stable convergence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Regularisation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L2 alpha 0.001</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Reduces overfitting</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Validation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20% of training data</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Supports early stopping</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Early stopping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Patience 10</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Stops when validation improvement ends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Random seed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42</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Supports reproducibility</w:t>
            </w:r>
          </w:p>
        </w:tc>
      </w:tr>
    </w:tbl>
    <w:p/>
    <w:p>
      <w:pPr>
        <w:jc w:val="center"/>
      </w:pPr>
      <w:r>
        <w:rPr>
          <w:b/>
          <w:sz w:val="22"/>
        </w:rPr>
        <w:t>16 inputs  -&gt;  Dense 32 ReLU  -&gt;  Dense 16 ReLU  -&gt;  churn probability</w:t>
      </w:r>
    </w:p>
    <w:p>
      <w:pPr>
        <w:pStyle w:val="Heading1"/>
      </w:pPr>
      <w:r>
        <w:t>Training and Convergence</w:t>
      </w:r>
    </w:p>
    <w:p>
      <w:pPr>
        <w:spacing w:after="140"/>
      </w:pPr>
      <w:r>
        <w:t>The ANN trained on 5,634 records with balanced sample weights and completed 19 epochs before early stopping. Training and validation evidence was saved so the result can be reproduced and reviewed.</w:t>
      </w:r>
    </w:p>
    <w:p>
      <w:pPr>
        <w:keepNext/>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ann_training_loss.png"/>
                    <pic:cNvPicPr/>
                  </pic:nvPicPr>
                  <pic:blipFill>
                    <a:blip r:embed="rId11"/>
                    <a:stretch>
                      <a:fillRect/>
                    </a:stretch>
                  </pic:blipFill>
                  <pic:spPr>
                    <a:xfrm>
                      <a:off x="0" y="0"/>
                      <a:ext cx="6035040" cy="3771900"/>
                    </a:xfrm>
                    <a:prstGeom prst="rect"/>
                  </pic:spPr>
                </pic:pic>
              </a:graphicData>
            </a:graphic>
          </wp:inline>
        </w:drawing>
      </w:r>
    </w:p>
    <w:p>
      <w:pPr>
        <w:pStyle w:val="Caption"/>
        <w:spacing w:after="160"/>
        <w:jc w:val="center"/>
      </w:pPr>
      <w:r>
        <w:t>Figure 1. Training and validation loss across the completed epochs.</w:t>
      </w:r>
    </w:p>
    <w:p>
      <w:pPr>
        <w:keepNext/>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ann_validation_accuracy.png"/>
                    <pic:cNvPicPr/>
                  </pic:nvPicPr>
                  <pic:blipFill>
                    <a:blip r:embed="rId12"/>
                    <a:stretch>
                      <a:fillRect/>
                    </a:stretch>
                  </pic:blipFill>
                  <pic:spPr>
                    <a:xfrm>
                      <a:off x="0" y="0"/>
                      <a:ext cx="6035040" cy="3771900"/>
                    </a:xfrm>
                    <a:prstGeom prst="rect"/>
                  </pic:spPr>
                </pic:pic>
              </a:graphicData>
            </a:graphic>
          </wp:inline>
        </w:drawing>
      </w:r>
    </w:p>
    <w:p>
      <w:pPr>
        <w:pStyle w:val="Caption"/>
        <w:spacing w:after="160"/>
        <w:jc w:val="center"/>
      </w:pPr>
      <w:r>
        <w:t>Figure 2. Validation accuracy evidence during training.</w:t>
      </w:r>
    </w:p>
    <w:p>
      <w:pPr>
        <w:pStyle w:val="Heading1"/>
      </w:pPr>
      <w:r>
        <w:t>Test Performance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Metric</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Result</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Target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8"/>
              </w:rPr>
              <w:t>Decision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Accuracy</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0.731</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0.750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Balanced accuracy</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0.719</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Not set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Reported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Churn precision</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0.495</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set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Reported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Churn recall</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0.693</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0.650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Churn F1-score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0.578</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0.600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8"/>
              </w:rPr>
              <w:t>ROC-AUC</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0.807</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0.750</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8"/>
              </w:rPr>
              <w:t>Met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8"/>
              </w:rPr>
              <w:t>Average precision</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0.606</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Not set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8"/>
              </w:rPr>
              <w:t>Reported</w:t>
            </w:r>
          </w:p>
        </w:tc>
      </w:tr>
    </w:tbl>
    <w:p/>
    <w:p>
      <w:pPr>
        <w:keepNext/>
        <w:jc w:val="center"/>
      </w:pPr>
      <w:r>
        <w:drawing>
          <wp:inline xmlns:a="http://schemas.openxmlformats.org/drawingml/2006/main" xmlns:pic="http://schemas.openxmlformats.org/drawingml/2006/picture">
            <wp:extent cx="5303520" cy="4487594"/>
            <wp:docPr id="3" name="Picture 3"/>
            <wp:cNvGraphicFramePr>
              <a:graphicFrameLocks noChangeAspect="1"/>
            </wp:cNvGraphicFramePr>
            <a:graphic>
              <a:graphicData uri="http://schemas.openxmlformats.org/drawingml/2006/picture">
                <pic:pic>
                  <pic:nvPicPr>
                    <pic:cNvPr id="0" name="ann_confusion_matrix.png"/>
                    <pic:cNvPicPr/>
                  </pic:nvPicPr>
                  <pic:blipFill>
                    <a:blip r:embed="rId13"/>
                    <a:stretch>
                      <a:fillRect/>
                    </a:stretch>
                  </pic:blipFill>
                  <pic:spPr>
                    <a:xfrm>
                      <a:off x="0" y="0"/>
                      <a:ext cx="5303520" cy="4487594"/>
                    </a:xfrm>
                    <a:prstGeom prst="rect"/>
                  </pic:spPr>
                </pic:pic>
              </a:graphicData>
            </a:graphic>
          </wp:inline>
        </w:drawing>
      </w:r>
    </w:p>
    <w:p>
      <w:pPr>
        <w:pStyle w:val="Caption"/>
        <w:spacing w:after="160"/>
        <w:jc w:val="center"/>
      </w:pPr>
      <w:r>
        <w:t>Figure 3. Confusion matrix for the reserved 1,409-record testing set.</w:t>
      </w:r>
    </w:p>
    <w:p>
      <w:pPr>
        <w:spacing w:after="140"/>
      </w:pPr>
      <w:r>
        <w:t>The model correctly identified 259 churn cases and missed 115. It also generated 264 false churn warnings. This trade-off supports using the model to rank customers for human review rather than automatically issue offers.</w:t>
      </w:r>
    </w:p>
    <w:p>
      <w:pPr>
        <w:keepNext/>
        <w:jc w:val="center"/>
      </w:pPr>
      <w:r>
        <w:drawing>
          <wp:inline xmlns:a="http://schemas.openxmlformats.org/drawingml/2006/main" xmlns:pic="http://schemas.openxmlformats.org/drawingml/2006/picture">
            <wp:extent cx="6035040" cy="4741817"/>
            <wp:docPr id="4" name="Picture 4"/>
            <wp:cNvGraphicFramePr>
              <a:graphicFrameLocks noChangeAspect="1"/>
            </wp:cNvGraphicFramePr>
            <a:graphic>
              <a:graphicData uri="http://schemas.openxmlformats.org/drawingml/2006/picture">
                <pic:pic>
                  <pic:nvPicPr>
                    <pic:cNvPr id="0" name="ann_roc_curve.png"/>
                    <pic:cNvPicPr/>
                  </pic:nvPicPr>
                  <pic:blipFill>
                    <a:blip r:embed="rId14"/>
                    <a:stretch>
                      <a:fillRect/>
                    </a:stretch>
                  </pic:blipFill>
                  <pic:spPr>
                    <a:xfrm>
                      <a:off x="0" y="0"/>
                      <a:ext cx="6035040" cy="4741817"/>
                    </a:xfrm>
                    <a:prstGeom prst="rect"/>
                  </pic:spPr>
                </pic:pic>
              </a:graphicData>
            </a:graphic>
          </wp:inline>
        </w:drawing>
      </w:r>
    </w:p>
    <w:p>
      <w:pPr>
        <w:pStyle w:val="Caption"/>
        <w:spacing w:after="160"/>
        <w:jc w:val="center"/>
      </w:pPr>
      <w:r>
        <w:t>Figure 4. ROC curve with test ROC-AUC of 0.807.</w:t>
      </w:r>
    </w:p>
    <w:p>
      <w:pPr>
        <w:keepNext/>
        <w:jc w:val="center"/>
      </w:pPr>
      <w:r>
        <w:drawing>
          <wp:inline xmlns:a="http://schemas.openxmlformats.org/drawingml/2006/main" xmlns:pic="http://schemas.openxmlformats.org/drawingml/2006/picture">
            <wp:extent cx="6035040" cy="4741817"/>
            <wp:docPr id="5" name="Picture 5"/>
            <wp:cNvGraphicFramePr>
              <a:graphicFrameLocks noChangeAspect="1"/>
            </wp:cNvGraphicFramePr>
            <a:graphic>
              <a:graphicData uri="http://schemas.openxmlformats.org/drawingml/2006/picture">
                <pic:pic>
                  <pic:nvPicPr>
                    <pic:cNvPr id="0" name="ann_precision_recall_curve.png"/>
                    <pic:cNvPicPr/>
                  </pic:nvPicPr>
                  <pic:blipFill>
                    <a:blip r:embed="rId15"/>
                    <a:stretch>
                      <a:fillRect/>
                    </a:stretch>
                  </pic:blipFill>
                  <pic:spPr>
                    <a:xfrm>
                      <a:off x="0" y="0"/>
                      <a:ext cx="6035040" cy="4741817"/>
                    </a:xfrm>
                    <a:prstGeom prst="rect"/>
                  </pic:spPr>
                </pic:pic>
              </a:graphicData>
            </a:graphic>
          </wp:inline>
        </w:drawing>
      </w:r>
    </w:p>
    <w:p>
      <w:pPr>
        <w:pStyle w:val="Caption"/>
        <w:spacing w:after="160"/>
        <w:jc w:val="center"/>
      </w:pPr>
      <w:r>
        <w:t>Figure 5. Precision-recall curve for the minority churn class.</w:t>
      </w:r>
    </w:p>
    <w:p>
      <w:pPr>
        <w:pStyle w:val="Heading1"/>
      </w:pPr>
      <w:r>
        <w:t>Predictive Signals and Interpretation</w:t>
      </w:r>
    </w:p>
    <w:p>
      <w:pPr>
        <w:spacing w:after="140"/>
      </w:pPr>
      <w:r>
        <w:t>Permutation importance identified tenure, monthly charges, senior-citizen status, a two-year contract indicator and no phone service as the five strongest test-set signals. Importance measures predictive influence, not causation.</w:t>
      </w:r>
    </w:p>
    <w:p>
      <w:pPr>
        <w:keepNext/>
        <w:jc w:val="center"/>
      </w:pPr>
      <w:r>
        <w:drawing>
          <wp:inline xmlns:a="http://schemas.openxmlformats.org/drawingml/2006/main" xmlns:pic="http://schemas.openxmlformats.org/drawingml/2006/picture">
            <wp:extent cx="6035040" cy="4149090"/>
            <wp:docPr id="6" name="Picture 6"/>
            <wp:cNvGraphicFramePr>
              <a:graphicFrameLocks noChangeAspect="1"/>
            </wp:cNvGraphicFramePr>
            <a:graphic>
              <a:graphicData uri="http://schemas.openxmlformats.org/drawingml/2006/picture">
                <pic:pic>
                  <pic:nvPicPr>
                    <pic:cNvPr id="0" name="ann_feature_importance.png"/>
                    <pic:cNvPicPr/>
                  </pic:nvPicPr>
                  <pic:blipFill>
                    <a:blip r:embed="rId16"/>
                    <a:stretch>
                      <a:fillRect/>
                    </a:stretch>
                  </pic:blipFill>
                  <pic:spPr>
                    <a:xfrm>
                      <a:off x="0" y="0"/>
                      <a:ext cx="6035040" cy="4149090"/>
                    </a:xfrm>
                    <a:prstGeom prst="rect"/>
                  </pic:spPr>
                </pic:pic>
              </a:graphicData>
            </a:graphic>
          </wp:inline>
        </w:drawing>
      </w:r>
    </w:p>
    <w:p>
      <w:pPr>
        <w:pStyle w:val="Caption"/>
        <w:spacing w:after="160"/>
        <w:jc w:val="center"/>
      </w:pPr>
      <w:r>
        <w:t>Figure 6. Permutation feature importance measured against test ROC-AUC.</w:t>
      </w:r>
    </w:p>
    <w:p>
      <w:pPr>
        <w:pStyle w:val="Heading1"/>
      </w:pPr>
      <w:r>
        <w:t>Saved Evidence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Evidence</w:t>
            </w:r>
          </w:p>
        </w:tc>
        <w:tc>
          <w:tcPr>
            <w:tcW w:type="dxa" w:w="6983"/>
            <w:shd w:fill="17365D"/>
            <w:tcBorders>
              <w:top w:val="single" w:sz="6" w:color="D9D9D9"/>
              <w:left w:val="single" w:sz="6" w:color="D9D9D9"/>
              <w:bottom w:val="single" w:sz="6" w:color="D9D9D9"/>
              <w:right w:val="single" w:sz="6" w:color="D9D9D9"/>
              <w:insideH w:val="single" w:sz="6" w:color="D9D9D9"/>
              <w:insideV w:val="single" w:sz="6" w:color="D9D9D9"/>
            </w:tcBorders>
            <w:tcMar>
              <w:top w:w="95" w:type="dxa"/>
              <w:start w:w="105" w:type="dxa"/>
              <w:bottom w:w="95" w:type="dxa"/>
              <w:end w:w="105" w:type="dxa"/>
            </w:tcMar>
            <w:vAlign w:val="center"/>
          </w:tcPr>
          <w:p>
            <w:pPr>
              <w:jc w:val="center"/>
            </w:pPr>
            <w:r>
              <w:rPr>
                <w:b/>
                <w:color w:val="FFFFFF"/>
                <w:sz w:val="17"/>
              </w:rPr>
              <w:t>Repository path</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Trained model</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Predictive_Modeling/models/ann_mlp_model.joblib</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Training script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scripts/07_train_ann_model.py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Test metrics</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Predictive_Modeling/results/ann_test_metrics.csv</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Confusion matrix</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Predictive_Modeling/results/ann_confusion_matrix.csv</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Classification report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Predictive_Modeling/results/ann_classification_report.csv</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Training history</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Predictive_Modeling/results/ann_training_history.csv</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center"/>
            </w:pPr>
            <w:r>
              <w:rPr>
                <w:sz w:val="16"/>
              </w:rPr>
              <w:t>Feature importance</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vAlign w:val="center"/>
          </w:tcPr>
          <w:p>
            <w:pPr>
              <w:jc w:val="left"/>
            </w:pPr>
            <w:r>
              <w:rPr>
                <w:sz w:val="16"/>
              </w:rPr>
              <w:t>Predictive_Modeling/results/ann_permutation_feature_importance.csv</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center"/>
            </w:pPr>
            <w:r>
              <w:rPr>
                <w:sz w:val="16"/>
              </w:rPr>
              <w:t>Evaluation summary</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82" w:type="dxa"/>
              <w:start w:w="105" w:type="dxa"/>
              <w:bottom w:w="82" w:type="dxa"/>
              <w:end w:w="105" w:type="dxa"/>
            </w:tcMar>
            <w:shd w:fill="F3F5F7"/>
            <w:vAlign w:val="center"/>
          </w:tcPr>
          <w:p>
            <w:pPr>
              <w:jc w:val="left"/>
            </w:pPr>
            <w:r>
              <w:rPr>
                <w:sz w:val="16"/>
              </w:rPr>
              <w:t>Predictive_Modeling/docs/ann_model_evaluation_summary.md</w:t>
            </w:r>
          </w:p>
        </w:tc>
      </w:tr>
    </w:tbl>
    <w:p/>
    <w:p>
      <w:pPr>
        <w:pStyle w:val="Heading1"/>
      </w:pPr>
      <w:r>
        <w:t>Limitations and Decision</w:t>
      </w:r>
    </w:p>
    <w:p>
      <w:pPr>
        <w:pStyle w:val="ListBullet"/>
        <w:spacing w:after="60"/>
      </w:pPr>
      <w:r>
        <w:t>The source has only nine customer attributes and excludes usage, complaints, payment behaviour and service-quality history.</w:t>
      </w:r>
    </w:p>
    <w:p>
      <w:pPr>
        <w:pStyle w:val="ListBullet"/>
        <w:spacing w:after="60"/>
      </w:pPr>
      <w:r>
        <w:t>The source contains 302 identical rows but no true customer identifier, so the rows cannot be confirmed as accidental duplicates.</w:t>
      </w:r>
    </w:p>
    <w:p>
      <w:pPr>
        <w:pStyle w:val="ListBullet"/>
        <w:spacing w:after="60"/>
      </w:pPr>
      <w:r>
        <w:t>The model has been tested on one supplied dataset and not on future or external customers.</w:t>
      </w:r>
    </w:p>
    <w:p>
      <w:pPr>
        <w:pStyle w:val="ListBullet"/>
        <w:spacing w:after="60"/>
      </w:pPr>
      <w:r>
        <w:t>The default 0.50 threshold is not yet optimised for the financial cost of missed churn and unnecessary offers.</w:t>
      </w:r>
    </w:p>
    <w:p>
      <w:pPr>
        <w:pStyle w:val="ListBullet"/>
        <w:spacing w:after="60"/>
      </w:pPr>
      <w:r>
        <w:t>Predictive importance is not evidence of a causal reason for churn.</w:t>
      </w:r>
    </w:p>
    <w:p>
      <w:pPr>
        <w:spacing w:after="140"/>
      </w:pPr>
      <w:r>
        <w:t>The trained ANN is accepted as the Stage 3 predictive-modelling deliverable. It is suitable for risk ranking, pilot testing and further evaluation, but not for automatic production decisions.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5050"/>
        <w:sz w:val="18"/>
      </w:rPr>
      <w:t>Customer Churn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